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65960" cy="1965960"/>
            <wp:docPr id="1" name="Picture 1"/>
            <wp:cNvGraphicFramePr>
              <a:graphicFrameLocks noChangeAspect="1"/>
            </wp:cNvGraphicFramePr>
            <a:graphic>
              <a:graphicData uri="http://schemas.openxmlformats.org/drawingml/2006/picture">
                <pic:pic>
                  <pic:nvPicPr>
                    <pic:cNvPr id="0" name="neon_green_wolf_crest_emblem.png"/>
                    <pic:cNvPicPr/>
                  </pic:nvPicPr>
                  <pic:blipFill>
                    <a:blip r:embed="rId10"/>
                    <a:stretch>
                      <a:fillRect/>
                    </a:stretch>
                  </pic:blipFill>
                  <pic:spPr>
                    <a:xfrm>
                      <a:off x="0" y="0"/>
                      <a:ext cx="1965960" cy="1965960"/>
                    </a:xfrm>
                    <a:prstGeom prst="rect"/>
                  </pic:spPr>
                </pic:pic>
              </a:graphicData>
            </a:graphic>
          </wp:inline>
        </w:drawing>
      </w:r>
    </w:p>
    <w:p>
      <w:pPr>
        <w:spacing w:before="160"/>
        <w:jc w:val="center"/>
      </w:pPr>
      <w:r>
        <w:rPr>
          <w:rFonts w:ascii="Aptos" w:hAnsi="Aptos"/>
          <w:b/>
          <w:i w:val="0"/>
          <w:color w:val="064B2C"/>
          <w:sz w:val="48"/>
        </w:rPr>
        <w:t>EAST GREEN HIGH SCHOOL</w:t>
      </w:r>
    </w:p>
    <w:p>
      <w:pPr>
        <w:jc w:val="center"/>
      </w:pPr>
      <w:r>
        <w:rPr>
          <w:rFonts w:ascii="Aptos" w:hAnsi="Aptos"/>
          <w:b/>
          <w:i w:val="0"/>
          <w:color w:val="1F1F1F"/>
          <w:sz w:val="52"/>
        </w:rPr>
        <w:t>STUDENT ORGANIZATIONS &amp; CLUBS HANDBOOK</w:t>
      </w:r>
    </w:p>
    <w:p>
      <w:pPr>
        <w:jc w:val="center"/>
      </w:pPr>
      <w:r>
        <w:rPr>
          <w:rFonts w:ascii="Aptos" w:hAnsi="Aptos"/>
          <w:b/>
          <w:i w:val="0"/>
          <w:color w:val="0B6B3A"/>
          <w:sz w:val="32"/>
        </w:rPr>
        <w:t>2026–2027</w:t>
      </w:r>
    </w:p>
    <w:p>
      <w:pPr>
        <w:spacing w:before="440"/>
        <w:jc w:val="center"/>
      </w:pPr>
      <w:r>
        <w:rPr>
          <w:rFonts w:ascii="Aptos" w:hAnsi="Aptos"/>
          <w:b w:val="0"/>
          <w:i/>
          <w:color w:val="5F6368"/>
          <w:sz w:val="24"/>
        </w:rPr>
        <w:t>A practical guide for student leaders, faculty sponsors, and school administrators.</w:t>
      </w:r>
    </w:p>
    <w:tbl>
      <w:tblPr>
        <w:tblW w:type="auto" w:w="0"/>
        <w:jc w:val="center"/>
        <w:tblLayout w:type="fixed"/>
        <w:tblLook w:firstColumn="1" w:firstRow="1" w:lastColumn="0" w:lastRow="0" w:noHBand="0" w:noVBand="1" w:val="04A0"/>
      </w:tblPr>
      <w:tblGrid>
        <w:gridCol w:w="9792"/>
      </w:tblGrid>
      <w:tr>
        <w:trPr>
          <w:cantSplit/>
        </w:trPr>
        <w:tc>
          <w:tcPr>
            <w:tcW w:type="dxa" w:w="10166"/>
            <w:shd w:fill="EAF3EC"/>
            <w:tcBorders>
              <w:top w:val="single" w:sz="10" w:color="B7CDBD"/>
              <w:left w:val="single" w:sz="10" w:color="B7CDBD"/>
              <w:bottom w:val="single" w:sz="10" w:color="B7CDBD"/>
              <w:right w:val="single" w:sz="10" w:color="B7CDBD"/>
              <w:insideH w:val="single" w:sz="10" w:color="B7CDBD"/>
              <w:insideV w:val="single" w:sz="10" w:color="B7CDBD"/>
            </w:tcBorders>
            <w:tcMar>
              <w:top w:w="160" w:type="dxa"/>
              <w:start w:w="180" w:type="dxa"/>
              <w:bottom w:w="160" w:type="dxa"/>
              <w:end w:w="180" w:type="dxa"/>
            </w:tcMar>
          </w:tcPr>
          <w:p>
            <w:pPr>
              <w:spacing w:after="80"/>
            </w:pPr>
            <w:r>
              <w:rPr>
                <w:rFonts w:ascii="Aptos" w:hAnsi="Aptos"/>
                <w:b/>
                <w:i w:val="0"/>
                <w:color w:val="064B2C"/>
                <w:sz w:val="21"/>
              </w:rPr>
              <w:t>PURPOSE</w:t>
            </w:r>
          </w:p>
          <w:p>
            <w:pPr>
              <w:spacing w:after="0"/>
            </w:pPr>
            <w:r>
              <w:rPr>
                <w:rFonts w:ascii="Aptos" w:hAnsi="Aptos"/>
                <w:b w:val="0"/>
                <w:i w:val="0"/>
                <w:color w:val="1F1F1F"/>
                <w:sz w:val="20"/>
              </w:rPr>
              <w:t>Student organizations are an extension of East Green High School’s instructional and community mission. This handbook establishes the minimum standards for forming, operating, supervising, funding, communicating, and closing student clubs and organizations while preserving room for student creativity and leadership.</w:t>
            </w:r>
          </w:p>
        </w:tc>
      </w:tr>
    </w:tbl>
    <w:p>
      <w:pPr>
        <w:spacing w:after="20"/>
      </w:pPr>
    </w:p>
    <w:p>
      <w:pPr>
        <w:spacing w:before="280"/>
        <w:jc w:val="center"/>
      </w:pPr>
      <w:r>
        <w:rPr>
          <w:rFonts w:ascii="Aptos" w:hAnsi="Aptos"/>
          <w:b/>
          <w:i w:val="0"/>
          <w:color w:val="064B2C"/>
          <w:sz w:val="28"/>
        </w:rPr>
        <w:t>ONE SCHOOL. ONE PACK. ONE PURPOSE.</w:t>
      </w:r>
    </w:p>
    <w:p>
      <w:r>
        <w:br w:type="page"/>
      </w:r>
    </w:p>
    <w:p>
      <w:pPr>
        <w:pStyle w:val="Heading1"/>
        <w:spacing w:before="180" w:after="80"/>
      </w:pPr>
      <w:r>
        <w:rPr>
          <w:rFonts w:ascii="Aptos Display" w:hAnsi="Aptos Display"/>
          <w:b/>
          <w:color w:val="064B2C"/>
          <w:sz w:val="36"/>
        </w:rPr>
        <w:t>1. Handbook Authority &amp; Philosophy</w:t>
      </w:r>
    </w:p>
    <w:p>
      <w:pPr>
        <w:spacing w:after="100"/>
      </w:pPr>
      <w:r>
        <w:rPr>
          <w:rFonts w:ascii="Aptos" w:hAnsi="Aptos"/>
          <w:b w:val="0"/>
          <w:i w:val="0"/>
          <w:color w:val="1F1F1F"/>
          <w:sz w:val="21"/>
        </w:rPr>
        <w:t>This handbook applies to all East Green High School student clubs, organizations, activity groups, pathway organizations, service groups, and student-led committees operating under the school name or using school resources.</w:t>
      </w:r>
    </w:p>
    <w:p>
      <w:pPr>
        <w:pStyle w:val="Heading2"/>
        <w:spacing w:before="140" w:after="80"/>
      </w:pPr>
      <w:r>
        <w:rPr>
          <w:rFonts w:ascii="Aptos Display" w:hAnsi="Aptos Display"/>
          <w:b/>
          <w:color w:val="0B6B3A"/>
          <w:sz w:val="28"/>
        </w:rPr>
        <w:t>1.1 Guiding Principles</w:t>
      </w:r>
    </w:p>
    <w:p>
      <w:pPr>
        <w:pStyle w:val="ListBullet"/>
        <w:spacing w:after="50"/>
      </w:pPr>
      <w:r>
        <w:rPr>
          <w:rFonts w:ascii="Aptos" w:hAnsi="Aptos"/>
          <w:b w:val="0"/>
          <w:i w:val="0"/>
          <w:color w:val="1F1F1F"/>
          <w:sz w:val="20"/>
        </w:rPr>
        <w:t>Student organizations should provide meaningful opportunities for leadership, belonging, service, skill development, and positive school culture.</w:t>
      </w:r>
    </w:p>
    <w:p>
      <w:pPr>
        <w:pStyle w:val="ListBullet"/>
        <w:spacing w:after="50"/>
      </w:pPr>
      <w:r>
        <w:rPr>
          <w:rFonts w:ascii="Aptos" w:hAnsi="Aptos"/>
          <w:b w:val="0"/>
          <w:i w:val="0"/>
          <w:color w:val="1F1F1F"/>
          <w:sz w:val="20"/>
        </w:rPr>
        <w:t>Every recognized organization must have an approved adult sponsor and operate within school policies, safety expectations, and administrative direction.</w:t>
      </w:r>
    </w:p>
    <w:p>
      <w:pPr>
        <w:pStyle w:val="ListBullet"/>
        <w:spacing w:after="50"/>
      </w:pPr>
      <w:r>
        <w:rPr>
          <w:rFonts w:ascii="Aptos" w:hAnsi="Aptos"/>
          <w:b w:val="0"/>
          <w:i w:val="0"/>
          <w:color w:val="1F1F1F"/>
          <w:sz w:val="20"/>
        </w:rPr>
        <w:t>Participation must remain voluntary unless the activity is part of an enrolled course or required school program.</w:t>
      </w:r>
    </w:p>
    <w:p>
      <w:pPr>
        <w:pStyle w:val="ListBullet"/>
        <w:spacing w:after="50"/>
      </w:pPr>
      <w:r>
        <w:rPr>
          <w:rFonts w:ascii="Aptos" w:hAnsi="Aptos"/>
          <w:b w:val="0"/>
          <w:i w:val="0"/>
          <w:color w:val="1F1F1F"/>
          <w:sz w:val="20"/>
        </w:rPr>
        <w:t>Organizations may establish membership expectations appropriate to their purpose, but may not exclude students in ways inconsistent with school policy.</w:t>
      </w:r>
    </w:p>
    <w:p>
      <w:pPr>
        <w:pStyle w:val="ListBullet"/>
        <w:spacing w:after="50"/>
      </w:pPr>
      <w:r>
        <w:rPr>
          <w:rFonts w:ascii="Aptos" w:hAnsi="Aptos"/>
          <w:b w:val="0"/>
          <w:i w:val="0"/>
          <w:color w:val="1F1F1F"/>
          <w:sz w:val="20"/>
        </w:rPr>
        <w:t>Green Day G3 is East Green’s primary protected time for clubs, pathways, enrichment, and organization meetings; additional meetings require sponsor and administrative approval.</w:t>
      </w:r>
    </w:p>
    <w:p>
      <w:pPr>
        <w:pStyle w:val="Heading2"/>
        <w:spacing w:before="140" w:after="80"/>
      </w:pPr>
      <w:r>
        <w:rPr>
          <w:rFonts w:ascii="Aptos Display" w:hAnsi="Aptos Display"/>
          <w:b/>
          <w:color w:val="0B6B3A"/>
          <w:sz w:val="28"/>
        </w:rPr>
        <w:t>1.2 Administrative Oversight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Role</w:t>
            </w:r>
          </w:p>
        </w:tc>
        <w:tc>
          <w:tcPr>
            <w:tcW w:type="dxa" w:w="6912"/>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Primary Responsibility</w:t>
            </w:r>
          </w:p>
        </w:tc>
      </w:tr>
      <w:tr>
        <w:tc>
          <w:tcPr>
            <w:tcW w:type="dxa" w:w="288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Principal – Dr. Collin Bryant</w:t>
            </w:r>
          </w:p>
        </w:tc>
        <w:tc>
          <w:tcPr>
            <w:tcW w:type="dxa" w:w="691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Final authority for recognition, major events, high-risk activities, schoolwide fundraising, and organization suspension/dissolution.</w:t>
            </w:r>
          </w:p>
        </w:tc>
      </w:tr>
      <w:tr>
        <w:tc>
          <w:tcPr>
            <w:tcW w:type="dxa" w:w="288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AP Operations &amp; Student Services – Dr. Barnabas Cook</w:t>
            </w:r>
          </w:p>
        </w:tc>
        <w:tc>
          <w:tcPr>
            <w:tcW w:type="dxa" w:w="691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Student conduct, supervision, facilities, event safety, organization compliance, and operational approvals.</w:t>
            </w:r>
          </w:p>
        </w:tc>
      </w:tr>
      <w:tr>
        <w:tc>
          <w:tcPr>
            <w:tcW w:type="dxa" w:w="288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AP Curriculum &amp; Instruction – HIRING</w:t>
            </w:r>
          </w:p>
        </w:tc>
        <w:tc>
          <w:tcPr>
            <w:tcW w:type="dxa" w:w="691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Academic/program alignment, pathway organizations, instructional competitions, and curriculum-connected activities.</w:t>
            </w:r>
          </w:p>
        </w:tc>
      </w:tr>
      <w:tr>
        <w:tc>
          <w:tcPr>
            <w:tcW w:type="dxa" w:w="288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Faculty/Staff Sponsor</w:t>
            </w:r>
          </w:p>
        </w:tc>
        <w:tc>
          <w:tcPr>
            <w:tcW w:type="dxa" w:w="691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Day-to-day supervision, records, meeting oversight, event/fundraising preparation, and student-leader coaching.</w:t>
            </w:r>
          </w:p>
        </w:tc>
      </w:tr>
      <w:tr>
        <w:tc>
          <w:tcPr>
            <w:tcW w:type="dxa" w:w="288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Student Officers</w:t>
            </w:r>
          </w:p>
        </w:tc>
        <w:tc>
          <w:tcPr>
            <w:tcW w:type="dxa" w:w="691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Plan and conduct approved organization business under sponsor supervision.</w:t>
            </w:r>
          </w:p>
        </w:tc>
      </w:tr>
    </w:tbl>
    <w:p>
      <w:pPr>
        <w:spacing w:after="20"/>
      </w:pPr>
    </w:p>
    <w:tbl>
      <w:tblPr>
        <w:tblW w:type="auto" w:w="0"/>
        <w:jc w:val="center"/>
        <w:tblLayout w:type="fixed"/>
        <w:tblLook w:firstColumn="1" w:firstRow="1" w:lastColumn="0" w:lastRow="0" w:noHBand="0" w:noVBand="1" w:val="04A0"/>
      </w:tblPr>
      <w:tblGrid>
        <w:gridCol w:w="9792"/>
      </w:tblGrid>
      <w:tr>
        <w:trPr>
          <w:cantSplit/>
        </w:trPr>
        <w:tc>
          <w:tcPr>
            <w:tcW w:type="dxa" w:w="10166"/>
            <w:shd w:fill="EAF3EC"/>
            <w:tcBorders>
              <w:top w:val="single" w:sz="10" w:color="B7CDBD"/>
              <w:left w:val="single" w:sz="10" w:color="B7CDBD"/>
              <w:bottom w:val="single" w:sz="10" w:color="B7CDBD"/>
              <w:right w:val="single" w:sz="10" w:color="B7CDBD"/>
              <w:insideH w:val="single" w:sz="10" w:color="B7CDBD"/>
              <w:insideV w:val="single" w:sz="10" w:color="B7CDBD"/>
            </w:tcBorders>
            <w:tcMar>
              <w:top w:w="160" w:type="dxa"/>
              <w:start w:w="180" w:type="dxa"/>
              <w:bottom w:w="160" w:type="dxa"/>
              <w:end w:w="180" w:type="dxa"/>
            </w:tcMar>
          </w:tcPr>
          <w:p>
            <w:pPr>
              <w:spacing w:after="80"/>
            </w:pPr>
            <w:r>
              <w:rPr>
                <w:rFonts w:ascii="Aptos" w:hAnsi="Aptos"/>
                <w:b/>
                <w:i w:val="0"/>
                <w:color w:val="064B2C"/>
                <w:sz w:val="21"/>
              </w:rPr>
              <w:t>NON-NEGOTIABLE</w:t>
            </w:r>
          </w:p>
          <w:p>
            <w:pPr>
              <w:spacing w:after="0"/>
            </w:pPr>
            <w:r>
              <w:rPr>
                <w:rFonts w:ascii="Aptos" w:hAnsi="Aptos"/>
                <w:b w:val="0"/>
                <w:i w:val="0"/>
                <w:color w:val="1F1F1F"/>
                <w:sz w:val="20"/>
              </w:rPr>
              <w:t>No student organization operates independently of its sponsor or school administration. A Discord server, Roblox group, social account, event, fundraiser, or external partnership using East Green’s name is considered school-affiliated only when formally approved.</w:t>
            </w:r>
          </w:p>
        </w:tc>
      </w:tr>
    </w:tbl>
    <w:p>
      <w:pPr>
        <w:spacing w:after="20"/>
      </w:pPr>
    </w:p>
    <w:p>
      <w:pPr>
        <w:pStyle w:val="Heading1"/>
        <w:spacing w:before="180" w:after="80"/>
      </w:pPr>
      <w:r>
        <w:rPr>
          <w:rFonts w:ascii="Aptos Display" w:hAnsi="Aptos Display"/>
          <w:b/>
          <w:color w:val="064B2C"/>
          <w:sz w:val="36"/>
        </w:rPr>
        <w:t>2. Types of Student Organizations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Category</w:t>
            </w:r>
          </w:p>
        </w:tc>
        <w:tc>
          <w:tcPr>
            <w:tcW w:type="dxa" w:w="3384"/>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Examples</w:t>
            </w:r>
          </w:p>
        </w:tc>
        <w:tc>
          <w:tcPr>
            <w:tcW w:type="dxa" w:w="4176"/>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Typical Purpose</w:t>
            </w:r>
          </w:p>
        </w:tc>
      </w:tr>
      <w:tr>
        <w:tc>
          <w:tcPr>
            <w:tcW w:type="dxa" w:w="223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Academic / Competitive</w:t>
            </w:r>
          </w:p>
        </w:tc>
        <w:tc>
          <w:tcPr>
            <w:tcW w:type="dxa" w:w="3384"/>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Math team, debate, history club, academic bowl</w:t>
            </w:r>
          </w:p>
        </w:tc>
        <w:tc>
          <w:tcPr>
            <w:tcW w:type="dxa" w:w="41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Extension of academic interests, competitions, projects, and enrichment.</w:t>
            </w:r>
          </w:p>
        </w:tc>
      </w:tr>
      <w:tr>
        <w:tc>
          <w:tcPr>
            <w:tcW w:type="dxa" w:w="223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Career &amp; Technical</w:t>
            </w:r>
          </w:p>
        </w:tc>
        <w:tc>
          <w:tcPr>
            <w:tcW w:type="dxa" w:w="3384"/>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Technology Club, Criminal Justice/Public Safety Club, Culinary Club</w:t>
            </w:r>
          </w:p>
        </w:tc>
        <w:tc>
          <w:tcPr>
            <w:tcW w:type="dxa" w:w="41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Career exploration, pathway projects, simulations, competitions, and service.</w:t>
            </w:r>
          </w:p>
        </w:tc>
      </w:tr>
      <w:tr>
        <w:tc>
          <w:tcPr>
            <w:tcW w:type="dxa" w:w="223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Arts &amp; Media</w:t>
            </w:r>
          </w:p>
        </w:tc>
        <w:tc>
          <w:tcPr>
            <w:tcW w:type="dxa" w:w="3384"/>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Art Club, Drama Club, Yearbook, Journalism</w:t>
            </w:r>
          </w:p>
        </w:tc>
        <w:tc>
          <w:tcPr>
            <w:tcW w:type="dxa" w:w="41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Creative production, performances, publications, exhibitions, and school media.</w:t>
            </w:r>
          </w:p>
        </w:tc>
      </w:tr>
      <w:tr>
        <w:tc>
          <w:tcPr>
            <w:tcW w:type="dxa" w:w="223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Service &amp; Leadership</w:t>
            </w:r>
          </w:p>
        </w:tc>
        <w:tc>
          <w:tcPr>
            <w:tcW w:type="dxa" w:w="3384"/>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Student Government, service club, peer leadership</w:t>
            </w:r>
          </w:p>
        </w:tc>
        <w:tc>
          <w:tcPr>
            <w:tcW w:type="dxa" w:w="41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School leadership, service projects, community initiatives, student voice.</w:t>
            </w:r>
          </w:p>
        </w:tc>
      </w:tr>
      <w:tr>
        <w:tc>
          <w:tcPr>
            <w:tcW w:type="dxa" w:w="223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Interest / Enrichment</w:t>
            </w:r>
          </w:p>
        </w:tc>
        <w:tc>
          <w:tcPr>
            <w:tcW w:type="dxa" w:w="3384"/>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Gaming, film, culture, hobby groups</w:t>
            </w:r>
          </w:p>
        </w:tc>
        <w:tc>
          <w:tcPr>
            <w:tcW w:type="dxa" w:w="41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Student belonging and supervised shared-interest activities.</w:t>
            </w:r>
          </w:p>
        </w:tc>
      </w:tr>
      <w:tr>
        <w:tc>
          <w:tcPr>
            <w:tcW w:type="dxa" w:w="223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Temporary Committee</w:t>
            </w:r>
          </w:p>
        </w:tc>
        <w:tc>
          <w:tcPr>
            <w:tcW w:type="dxa" w:w="3384"/>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Homecoming committee, event planning team</w:t>
            </w:r>
          </w:p>
        </w:tc>
        <w:tc>
          <w:tcPr>
            <w:tcW w:type="dxa" w:w="41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Time-limited work toward an approved school event or project.</w:t>
            </w:r>
          </w:p>
        </w:tc>
      </w:tr>
    </w:tbl>
    <w:p>
      <w:pPr>
        <w:spacing w:after="20"/>
      </w:pPr>
    </w:p>
    <w:p>
      <w:r>
        <w:br w:type="page"/>
      </w:r>
    </w:p>
    <w:p>
      <w:pPr>
        <w:pStyle w:val="Heading1"/>
        <w:spacing w:before="180" w:after="80"/>
      </w:pPr>
      <w:r>
        <w:rPr>
          <w:rFonts w:ascii="Aptos Display" w:hAnsi="Aptos Display"/>
          <w:b/>
          <w:color w:val="064B2C"/>
          <w:sz w:val="36"/>
        </w:rPr>
        <w:t>3. Starting a New Club or Organization</w:t>
      </w:r>
    </w:p>
    <w:p>
      <w:pPr>
        <w:spacing w:after="100"/>
      </w:pPr>
      <w:r>
        <w:rPr>
          <w:rFonts w:ascii="Aptos" w:hAnsi="Aptos"/>
          <w:b w:val="0"/>
          <w:i w:val="0"/>
          <w:color w:val="1F1F1F"/>
          <w:sz w:val="21"/>
        </w:rPr>
        <w:t>New organizations are approved through a simple chartering process. Approval is based on student interest, a clear purpose, available supervision, safe operations, and whether the organization can function without duplicating an existing program unnecessarily.</w:t>
      </w:r>
    </w:p>
    <w:p>
      <w:pPr>
        <w:pStyle w:val="Heading2"/>
        <w:spacing w:before="140" w:after="80"/>
      </w:pPr>
      <w:r>
        <w:rPr>
          <w:rFonts w:ascii="Aptos Display" w:hAnsi="Aptos Display"/>
          <w:b/>
          <w:color w:val="0B6B3A"/>
          <w:sz w:val="28"/>
        </w:rPr>
        <w:t>3.1 Minimum Requirements for Recognition</w:t>
      </w:r>
    </w:p>
    <w:p>
      <w:pPr>
        <w:pStyle w:val="ListBullet"/>
        <w:spacing w:after="50"/>
      </w:pPr>
      <w:r>
        <w:rPr>
          <w:rFonts w:ascii="Aptos" w:hAnsi="Aptos"/>
          <w:b w:val="0"/>
          <w:i w:val="0"/>
          <w:color w:val="1F1F1F"/>
          <w:sz w:val="20"/>
        </w:rPr>
        <w:t>At least five interested students.</w:t>
      </w:r>
    </w:p>
    <w:p>
      <w:pPr>
        <w:pStyle w:val="ListBullet"/>
        <w:spacing w:after="50"/>
      </w:pPr>
      <w:r>
        <w:rPr>
          <w:rFonts w:ascii="Aptos" w:hAnsi="Aptos"/>
          <w:b w:val="0"/>
          <w:i w:val="0"/>
          <w:color w:val="1F1F1F"/>
          <w:sz w:val="20"/>
        </w:rPr>
        <w:t>One qualified East Green faculty or staff sponsor willing to accept responsibility.</w:t>
      </w:r>
    </w:p>
    <w:p>
      <w:pPr>
        <w:pStyle w:val="ListBullet"/>
        <w:spacing w:after="50"/>
      </w:pPr>
      <w:r>
        <w:rPr>
          <w:rFonts w:ascii="Aptos" w:hAnsi="Aptos"/>
          <w:b w:val="0"/>
          <w:i w:val="0"/>
          <w:color w:val="1F1F1F"/>
          <w:sz w:val="20"/>
        </w:rPr>
        <w:t>A written purpose or mission statement.</w:t>
      </w:r>
    </w:p>
    <w:p>
      <w:pPr>
        <w:pStyle w:val="ListBullet"/>
        <w:spacing w:after="50"/>
      </w:pPr>
      <w:r>
        <w:rPr>
          <w:rFonts w:ascii="Aptos" w:hAnsi="Aptos"/>
          <w:b w:val="0"/>
          <w:i w:val="0"/>
          <w:color w:val="1F1F1F"/>
          <w:sz w:val="20"/>
        </w:rPr>
        <w:t>A proposed constitution/bylaws or operating agreement.</w:t>
      </w:r>
    </w:p>
    <w:p>
      <w:pPr>
        <w:pStyle w:val="ListBullet"/>
        <w:spacing w:after="50"/>
      </w:pPr>
      <w:r>
        <w:rPr>
          <w:rFonts w:ascii="Aptos" w:hAnsi="Aptos"/>
          <w:b w:val="0"/>
          <w:i w:val="0"/>
          <w:color w:val="1F1F1F"/>
          <w:sz w:val="20"/>
        </w:rPr>
        <w:t>A proposed meeting schedule and primary meeting location.</w:t>
      </w:r>
    </w:p>
    <w:p>
      <w:pPr>
        <w:pStyle w:val="ListBullet"/>
        <w:spacing w:after="50"/>
      </w:pPr>
      <w:r>
        <w:rPr>
          <w:rFonts w:ascii="Aptos" w:hAnsi="Aptos"/>
          <w:b w:val="0"/>
          <w:i w:val="0"/>
          <w:color w:val="1F1F1F"/>
          <w:sz w:val="20"/>
        </w:rPr>
        <w:t>Identification of any expected dues, fundraising, travel, competitions, equipment, or outside affiliations.</w:t>
      </w:r>
    </w:p>
    <w:p>
      <w:pPr>
        <w:pStyle w:val="ListBullet"/>
        <w:spacing w:after="50"/>
      </w:pPr>
      <w:r>
        <w:rPr>
          <w:rFonts w:ascii="Aptos" w:hAnsi="Aptos"/>
          <w:b w:val="0"/>
          <w:i w:val="0"/>
          <w:color w:val="1F1F1F"/>
          <w:sz w:val="20"/>
        </w:rPr>
        <w:t>Administrative approval before recruiting under the East Green name or holding official meetings.</w:t>
      </w:r>
    </w:p>
    <w:p>
      <w:pPr>
        <w:pStyle w:val="Heading2"/>
        <w:spacing w:before="140" w:after="80"/>
      </w:pPr>
      <w:r>
        <w:rPr>
          <w:rFonts w:ascii="Aptos Display" w:hAnsi="Aptos Display"/>
          <w:b/>
          <w:color w:val="0B6B3A"/>
          <w:sz w:val="28"/>
        </w:rPr>
        <w:t>3.2 Approval Process</w:t>
      </w:r>
    </w:p>
    <w:p>
      <w:pPr>
        <w:pStyle w:val="ListNumber"/>
        <w:spacing w:after="60"/>
      </w:pPr>
      <w:r>
        <w:rPr>
          <w:rFonts w:ascii="Aptos" w:hAnsi="Aptos"/>
          <w:b w:val="0"/>
          <w:i w:val="0"/>
          <w:color w:val="1F1F1F"/>
          <w:sz w:val="20"/>
        </w:rPr>
        <w:t>Students identify an adult sponsor and complete the Student Organization Charter Application.</w:t>
      </w:r>
    </w:p>
    <w:p>
      <w:pPr>
        <w:pStyle w:val="ListNumber"/>
        <w:spacing w:after="60"/>
      </w:pPr>
      <w:r>
        <w:rPr>
          <w:rFonts w:ascii="Aptos" w:hAnsi="Aptos"/>
          <w:b w:val="0"/>
          <w:i w:val="0"/>
          <w:color w:val="1F1F1F"/>
          <w:sz w:val="20"/>
        </w:rPr>
        <w:t>Sponsor reviews the proposal for feasibility, supervision, and alignment with school expectations.</w:t>
      </w:r>
    </w:p>
    <w:p>
      <w:pPr>
        <w:pStyle w:val="ListNumber"/>
        <w:spacing w:after="60"/>
      </w:pPr>
      <w:r>
        <w:rPr>
          <w:rFonts w:ascii="Aptos" w:hAnsi="Aptos"/>
          <w:b w:val="0"/>
          <w:i w:val="0"/>
          <w:color w:val="1F1F1F"/>
          <w:sz w:val="20"/>
        </w:rPr>
        <w:t>AP Operations &amp; Student Services reviews logistics, conduct, safety, room use, and school-name use.</w:t>
      </w:r>
    </w:p>
    <w:p>
      <w:pPr>
        <w:pStyle w:val="ListNumber"/>
        <w:spacing w:after="60"/>
      </w:pPr>
      <w:r>
        <w:rPr>
          <w:rFonts w:ascii="Aptos" w:hAnsi="Aptos"/>
          <w:b w:val="0"/>
          <w:i w:val="0"/>
          <w:color w:val="1F1F1F"/>
          <w:sz w:val="20"/>
        </w:rPr>
        <w:t>Curriculum &amp; Instruction AP reviews curriculum/pathway alignment when applicable.</w:t>
      </w:r>
    </w:p>
    <w:p>
      <w:pPr>
        <w:pStyle w:val="ListNumber"/>
        <w:spacing w:after="60"/>
      </w:pPr>
      <w:r>
        <w:rPr>
          <w:rFonts w:ascii="Aptos" w:hAnsi="Aptos"/>
          <w:b w:val="0"/>
          <w:i w:val="0"/>
          <w:color w:val="1F1F1F"/>
          <w:sz w:val="20"/>
        </w:rPr>
        <w:t>Principal grants, denies, or conditionally approves official recognition.</w:t>
      </w:r>
    </w:p>
    <w:p>
      <w:pPr>
        <w:pStyle w:val="ListNumber"/>
        <w:spacing w:after="60"/>
      </w:pPr>
      <w:r>
        <w:rPr>
          <w:rFonts w:ascii="Aptos" w:hAnsi="Aptos"/>
          <w:b w:val="0"/>
          <w:i w:val="0"/>
          <w:color w:val="1F1F1F"/>
          <w:sz w:val="20"/>
        </w:rPr>
        <w:t>Approved organizations receive an annual recognition status and may then recruit, meet, request events, and use approved school branding.</w:t>
      </w:r>
    </w:p>
    <w:tbl>
      <w:tblPr>
        <w:tblW w:type="auto" w:w="0"/>
        <w:jc w:val="center"/>
        <w:tblLayout w:type="fixed"/>
        <w:tblLook w:firstColumn="1" w:firstRow="1" w:lastColumn="0" w:lastRow="0" w:noHBand="0" w:noVBand="1" w:val="04A0"/>
      </w:tblPr>
      <w:tblGrid>
        <w:gridCol w:w="9792"/>
      </w:tblGrid>
      <w:tr>
        <w:trPr>
          <w:cantSplit/>
        </w:trPr>
        <w:tc>
          <w:tcPr>
            <w:tcW w:type="dxa" w:w="10166"/>
            <w:shd w:fill="EAF3EC"/>
            <w:tcBorders>
              <w:top w:val="single" w:sz="10" w:color="B7CDBD"/>
              <w:left w:val="single" w:sz="10" w:color="B7CDBD"/>
              <w:bottom w:val="single" w:sz="10" w:color="B7CDBD"/>
              <w:right w:val="single" w:sz="10" w:color="B7CDBD"/>
              <w:insideH w:val="single" w:sz="10" w:color="B7CDBD"/>
              <w:insideV w:val="single" w:sz="10" w:color="B7CDBD"/>
            </w:tcBorders>
            <w:tcMar>
              <w:top w:w="160" w:type="dxa"/>
              <w:start w:w="180" w:type="dxa"/>
              <w:bottom w:w="160" w:type="dxa"/>
              <w:end w:w="180" w:type="dxa"/>
            </w:tcMar>
          </w:tcPr>
          <w:p>
            <w:pPr>
              <w:spacing w:after="80"/>
            </w:pPr>
            <w:r>
              <w:rPr>
                <w:rFonts w:ascii="Aptos" w:hAnsi="Aptos"/>
                <w:b/>
                <w:i w:val="0"/>
                <w:color w:val="064B2C"/>
                <w:sz w:val="21"/>
              </w:rPr>
              <w:t>RECOGNITION STATUS</w:t>
            </w:r>
          </w:p>
          <w:p>
            <w:pPr>
              <w:spacing w:after="0"/>
            </w:pPr>
            <w:r>
              <w:rPr>
                <w:rFonts w:ascii="Aptos" w:hAnsi="Aptos"/>
                <w:b w:val="0"/>
                <w:i w:val="0"/>
                <w:color w:val="1F1F1F"/>
                <w:sz w:val="20"/>
              </w:rPr>
              <w:t>Approval is not permanent. Every organization must renew annually by confirming its sponsor, student officers, meeting pattern, constitution, and good-standing status.</w:t>
            </w:r>
          </w:p>
        </w:tc>
      </w:tr>
    </w:tbl>
    <w:p>
      <w:pPr>
        <w:spacing w:after="20"/>
      </w:pPr>
    </w:p>
    <w:p>
      <w:pPr>
        <w:pStyle w:val="Heading1"/>
        <w:spacing w:before="180" w:after="80"/>
      </w:pPr>
      <w:r>
        <w:rPr>
          <w:rFonts w:ascii="Aptos Display" w:hAnsi="Aptos Display"/>
          <w:b/>
          <w:color w:val="064B2C"/>
          <w:sz w:val="36"/>
        </w:rPr>
        <w:t>4. Constitution &amp; Bylaws</w:t>
      </w:r>
    </w:p>
    <w:p>
      <w:pPr>
        <w:spacing w:after="100"/>
      </w:pPr>
      <w:r>
        <w:rPr>
          <w:rFonts w:ascii="Aptos" w:hAnsi="Aptos"/>
          <w:b w:val="0"/>
          <w:i w:val="0"/>
          <w:color w:val="1F1F1F"/>
          <w:sz w:val="21"/>
        </w:rPr>
        <w:t>Each ongoing organization should maintain a simple constitution. Smaller interest clubs may use the East Green standard constitution template rather than drafting a complex document.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Required Article</w:t>
            </w:r>
          </w:p>
        </w:tc>
        <w:tc>
          <w:tcPr>
            <w:tcW w:type="dxa" w:w="6768"/>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Minimum Content</w:t>
            </w:r>
          </w:p>
        </w:tc>
      </w:tr>
      <w:tr>
        <w:tc>
          <w:tcPr>
            <w:tcW w:type="dxa" w:w="3024"/>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I. Name &amp; Purpose</w:t>
            </w:r>
          </w:p>
        </w:tc>
        <w:tc>
          <w:tcPr>
            <w:tcW w:type="dxa" w:w="676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Official organization name and a clear statement of purpose.</w:t>
            </w:r>
          </w:p>
        </w:tc>
      </w:tr>
      <w:tr>
        <w:tc>
          <w:tcPr>
            <w:tcW w:type="dxa" w:w="3024"/>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II. Membership</w:t>
            </w:r>
          </w:p>
        </w:tc>
        <w:tc>
          <w:tcPr>
            <w:tcW w:type="dxa" w:w="676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Who may join, expectations for active membership, and any reasonable eligibility criteria.</w:t>
            </w:r>
          </w:p>
        </w:tc>
      </w:tr>
      <w:tr>
        <w:tc>
          <w:tcPr>
            <w:tcW w:type="dxa" w:w="3024"/>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III. Officers</w:t>
            </w:r>
          </w:p>
        </w:tc>
        <w:tc>
          <w:tcPr>
            <w:tcW w:type="dxa" w:w="676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Officer titles, responsibilities, eligibility, terms, succession, and removal procedures.</w:t>
            </w:r>
          </w:p>
        </w:tc>
      </w:tr>
      <w:tr>
        <w:tc>
          <w:tcPr>
            <w:tcW w:type="dxa" w:w="3024"/>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IV. Meetings</w:t>
            </w:r>
          </w:p>
        </w:tc>
        <w:tc>
          <w:tcPr>
            <w:tcW w:type="dxa" w:w="676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Regular meeting schedule, quorum if used, voting procedures, and sponsor presence.</w:t>
            </w:r>
          </w:p>
        </w:tc>
      </w:tr>
      <w:tr>
        <w:tc>
          <w:tcPr>
            <w:tcW w:type="dxa" w:w="3024"/>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V. Elections</w:t>
            </w:r>
          </w:p>
        </w:tc>
        <w:tc>
          <w:tcPr>
            <w:tcW w:type="dxa" w:w="676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Nomination, campaign, voting, tie, vacancy, and transition rules.</w:t>
            </w:r>
          </w:p>
        </w:tc>
      </w:tr>
      <w:tr>
        <w:tc>
          <w:tcPr>
            <w:tcW w:type="dxa" w:w="3024"/>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VI. Finances</w:t>
            </w:r>
          </w:p>
        </w:tc>
        <w:tc>
          <w:tcPr>
            <w:tcW w:type="dxa" w:w="676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Dues if any, fundraising, spending authority, and recordkeeping expectations.</w:t>
            </w:r>
          </w:p>
        </w:tc>
      </w:tr>
      <w:tr>
        <w:tc>
          <w:tcPr>
            <w:tcW w:type="dxa" w:w="3024"/>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VII. Conduct</w:t>
            </w:r>
          </w:p>
        </w:tc>
        <w:tc>
          <w:tcPr>
            <w:tcW w:type="dxa" w:w="676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Expectation that school rules remain in force during organization activities.</w:t>
            </w:r>
          </w:p>
        </w:tc>
      </w:tr>
      <w:tr>
        <w:tc>
          <w:tcPr>
            <w:tcW w:type="dxa" w:w="3024"/>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VIII. Amendments</w:t>
            </w:r>
          </w:p>
        </w:tc>
        <w:tc>
          <w:tcPr>
            <w:tcW w:type="dxa" w:w="676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How bylaws may be changed and when sponsor/admin approval is required.</w:t>
            </w:r>
          </w:p>
        </w:tc>
      </w:tr>
    </w:tbl>
    <w:p>
      <w:pPr>
        <w:spacing w:after="20"/>
      </w:pPr>
    </w:p>
    <w:p>
      <w:r>
        <w:br w:type="page"/>
      </w:r>
    </w:p>
    <w:p>
      <w:pPr>
        <w:pStyle w:val="Heading1"/>
        <w:spacing w:before="180" w:after="80"/>
      </w:pPr>
      <w:r>
        <w:rPr>
          <w:rFonts w:ascii="Aptos Display" w:hAnsi="Aptos Display"/>
          <w:b/>
          <w:color w:val="064B2C"/>
          <w:sz w:val="36"/>
        </w:rPr>
        <w:t>5. Membership &amp; Participation</w:t>
      </w:r>
    </w:p>
    <w:p>
      <w:pPr>
        <w:pStyle w:val="Heading2"/>
        <w:spacing w:before="140" w:after="80"/>
      </w:pPr>
      <w:r>
        <w:rPr>
          <w:rFonts w:ascii="Aptos Display" w:hAnsi="Aptos Display"/>
          <w:b/>
          <w:color w:val="0B6B3A"/>
          <w:sz w:val="28"/>
        </w:rPr>
        <w:t>5.1 General Membership</w:t>
      </w:r>
    </w:p>
    <w:p>
      <w:pPr>
        <w:pStyle w:val="ListBullet"/>
        <w:spacing w:after="50"/>
      </w:pPr>
      <w:r>
        <w:rPr>
          <w:rFonts w:ascii="Aptos" w:hAnsi="Aptos"/>
          <w:b w:val="0"/>
          <w:i w:val="0"/>
          <w:color w:val="1F1F1F"/>
          <w:sz w:val="20"/>
        </w:rPr>
        <w:t>Organizations should publish clear joining instructions and meeting information.</w:t>
      </w:r>
    </w:p>
    <w:p>
      <w:pPr>
        <w:pStyle w:val="ListBullet"/>
        <w:spacing w:after="50"/>
      </w:pPr>
      <w:r>
        <w:rPr>
          <w:rFonts w:ascii="Aptos" w:hAnsi="Aptos"/>
          <w:b w:val="0"/>
          <w:i w:val="0"/>
          <w:color w:val="1F1F1F"/>
          <w:sz w:val="20"/>
        </w:rPr>
        <w:t>Students may participate in multiple organizations when schedules allow.</w:t>
      </w:r>
    </w:p>
    <w:p>
      <w:pPr>
        <w:pStyle w:val="ListBullet"/>
        <w:spacing w:after="50"/>
      </w:pPr>
      <w:r>
        <w:rPr>
          <w:rFonts w:ascii="Aptos" w:hAnsi="Aptos"/>
          <w:b w:val="0"/>
          <w:i w:val="0"/>
          <w:color w:val="1F1F1F"/>
          <w:sz w:val="20"/>
        </w:rPr>
        <w:t>Members are responsible for maintaining appropriate behavior and meeting organization expectations.</w:t>
      </w:r>
    </w:p>
    <w:p>
      <w:pPr>
        <w:pStyle w:val="ListBullet"/>
        <w:spacing w:after="50"/>
      </w:pPr>
      <w:r>
        <w:rPr>
          <w:rFonts w:ascii="Aptos" w:hAnsi="Aptos"/>
          <w:b w:val="0"/>
          <w:i w:val="0"/>
          <w:color w:val="1F1F1F"/>
          <w:sz w:val="20"/>
        </w:rPr>
        <w:t>Organizations may use attendance or participation expectations for leadership eligibility, competitions, trips, or special privileges.</w:t>
      </w:r>
    </w:p>
    <w:p>
      <w:pPr>
        <w:pStyle w:val="ListBullet"/>
        <w:spacing w:after="50"/>
      </w:pPr>
      <w:r>
        <w:rPr>
          <w:rFonts w:ascii="Aptos" w:hAnsi="Aptos"/>
          <w:b w:val="0"/>
          <w:i w:val="0"/>
          <w:color w:val="1F1F1F"/>
          <w:sz w:val="20"/>
        </w:rPr>
        <w:t>Academic eligibility requirements may be applied to competition/travel roles when required by the activity or school administration.</w:t>
      </w:r>
    </w:p>
    <w:p>
      <w:pPr>
        <w:pStyle w:val="Heading2"/>
        <w:spacing w:before="140" w:after="80"/>
      </w:pPr>
      <w:r>
        <w:rPr>
          <w:rFonts w:ascii="Aptos Display" w:hAnsi="Aptos Display"/>
          <w:b/>
          <w:color w:val="0B6B3A"/>
          <w:sz w:val="28"/>
        </w:rPr>
        <w:t>5.2 Removal or Restriction from Activities</w:t>
      </w:r>
    </w:p>
    <w:p>
      <w:pPr>
        <w:spacing w:after="100"/>
      </w:pPr>
      <w:r>
        <w:rPr>
          <w:rFonts w:ascii="Aptos" w:hAnsi="Aptos"/>
          <w:b w:val="0"/>
          <w:i w:val="0"/>
          <w:color w:val="1F1F1F"/>
          <w:sz w:val="21"/>
        </w:rPr>
        <w:t>A student may be temporarily restricted from an organization activity for safety, serious misconduct, repeated disruption, failure to meet published participation requirements, or an administrative restriction. Removal from membership should not be used as informal punishment for unrelated disagreements.</w:t>
      </w:r>
    </w:p>
    <w:p>
      <w:pPr>
        <w:pStyle w:val="Heading2"/>
        <w:spacing w:before="140" w:after="80"/>
      </w:pPr>
      <w:r>
        <w:rPr>
          <w:rFonts w:ascii="Aptos Display" w:hAnsi="Aptos Display"/>
          <w:b/>
          <w:color w:val="0B6B3A"/>
          <w:sz w:val="28"/>
        </w:rPr>
        <w:t>5.3 Student Organization Conduct</w:t>
      </w:r>
    </w:p>
    <w:tbl>
      <w:tblPr>
        <w:tblW w:type="auto" w:w="0"/>
        <w:jc w:val="center"/>
        <w:tblLayout w:type="fixed"/>
        <w:tblLook w:firstColumn="1" w:firstRow="1" w:lastColumn="0" w:lastRow="0" w:noHBand="0" w:noVBand="1" w:val="04A0"/>
      </w:tblPr>
      <w:tblGrid>
        <w:gridCol w:w="9792"/>
      </w:tblGrid>
      <w:tr>
        <w:trPr>
          <w:cantSplit/>
        </w:trPr>
        <w:tc>
          <w:tcPr>
            <w:tcW w:type="dxa" w:w="10166"/>
            <w:shd w:fill="EAF3EC"/>
            <w:tcBorders>
              <w:top w:val="single" w:sz="10" w:color="B7CDBD"/>
              <w:left w:val="single" w:sz="10" w:color="B7CDBD"/>
              <w:bottom w:val="single" w:sz="10" w:color="B7CDBD"/>
              <w:right w:val="single" w:sz="10" w:color="B7CDBD"/>
              <w:insideH w:val="single" w:sz="10" w:color="B7CDBD"/>
              <w:insideV w:val="single" w:sz="10" w:color="B7CDBD"/>
            </w:tcBorders>
            <w:tcMar>
              <w:top w:w="160" w:type="dxa"/>
              <w:start w:w="180" w:type="dxa"/>
              <w:bottom w:w="160" w:type="dxa"/>
              <w:end w:w="180" w:type="dxa"/>
            </w:tcMar>
          </w:tcPr>
          <w:p>
            <w:pPr>
              <w:spacing w:after="80"/>
            </w:pPr>
            <w:r>
              <w:rPr>
                <w:rFonts w:ascii="Aptos" w:hAnsi="Aptos"/>
                <w:b/>
                <w:i w:val="0"/>
                <w:color w:val="064B2C"/>
                <w:sz w:val="21"/>
              </w:rPr>
              <w:t>SCHOOL RULES FOLLOW THE ACTIVITY</w:t>
            </w:r>
          </w:p>
          <w:p>
            <w:pPr>
              <w:spacing w:after="0"/>
            </w:pPr>
            <w:r>
              <w:rPr>
                <w:rFonts w:ascii="Aptos" w:hAnsi="Aptos"/>
                <w:b w:val="0"/>
                <w:i w:val="0"/>
                <w:color w:val="1F1F1F"/>
                <w:sz w:val="20"/>
              </w:rPr>
              <w:t>The Student Handbook, Code of Conduct, technology rules, harassment/bullying procedures, and staff directions apply during club meetings, school trips, online organization spaces, rehearsals, competitions, fundraisers, and events.</w:t>
            </w:r>
          </w:p>
        </w:tc>
      </w:tr>
    </w:tbl>
    <w:p>
      <w:pPr>
        <w:spacing w:after="20"/>
      </w:pPr>
    </w:p>
    <w:p>
      <w:pPr>
        <w:pStyle w:val="Heading1"/>
        <w:spacing w:before="180" w:after="80"/>
      </w:pPr>
      <w:r>
        <w:rPr>
          <w:rFonts w:ascii="Aptos Display" w:hAnsi="Aptos Display"/>
          <w:b/>
          <w:color w:val="064B2C"/>
          <w:sz w:val="36"/>
        </w:rPr>
        <w:t>6. Student Officers &amp; Leadership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952"/>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Typical Office</w:t>
            </w:r>
          </w:p>
        </w:tc>
        <w:tc>
          <w:tcPr>
            <w:tcW w:type="dxa" w:w="6840"/>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Core Duties</w:t>
            </w:r>
          </w:p>
        </w:tc>
      </w:tr>
      <w:tr>
        <w:tc>
          <w:tcPr>
            <w:tcW w:type="dxa" w:w="295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President / Chair</w:t>
            </w:r>
          </w:p>
        </w:tc>
        <w:tc>
          <w:tcPr>
            <w:tcW w:type="dxa" w:w="684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Leads meetings, develops agendas with sponsor, represents organization, coordinates officers.</w:t>
            </w:r>
          </w:p>
        </w:tc>
      </w:tr>
      <w:tr>
        <w:tc>
          <w:tcPr>
            <w:tcW w:type="dxa" w:w="295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Vice President / Vice Chair</w:t>
            </w:r>
          </w:p>
        </w:tc>
        <w:tc>
          <w:tcPr>
            <w:tcW w:type="dxa" w:w="684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Supports president, tracks projects, assumes leadership when president is absent.</w:t>
            </w:r>
          </w:p>
        </w:tc>
      </w:tr>
      <w:tr>
        <w:tc>
          <w:tcPr>
            <w:tcW w:type="dxa" w:w="295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Secretary</w:t>
            </w:r>
          </w:p>
        </w:tc>
        <w:tc>
          <w:tcPr>
            <w:tcW w:type="dxa" w:w="684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Maintains minutes, attendance, calendar, correspondence, and official organization records.</w:t>
            </w:r>
          </w:p>
        </w:tc>
      </w:tr>
      <w:tr>
        <w:tc>
          <w:tcPr>
            <w:tcW w:type="dxa" w:w="295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Treasurer</w:t>
            </w:r>
          </w:p>
        </w:tc>
        <w:tc>
          <w:tcPr>
            <w:tcW w:type="dxa" w:w="684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Tracks approved income/expenses, assists sponsor with fundraiser records and purchase requests.</w:t>
            </w:r>
          </w:p>
        </w:tc>
      </w:tr>
      <w:tr>
        <w:tc>
          <w:tcPr>
            <w:tcW w:type="dxa" w:w="295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Communications / Historian</w:t>
            </w:r>
          </w:p>
        </w:tc>
        <w:tc>
          <w:tcPr>
            <w:tcW w:type="dxa" w:w="684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Maintains approved publicity, graphics, photos, announcements, and organization history.</w:t>
            </w:r>
          </w:p>
        </w:tc>
      </w:tr>
    </w:tbl>
    <w:p>
      <w:pPr>
        <w:spacing w:after="20"/>
      </w:pPr>
    </w:p>
    <w:p>
      <w:pPr>
        <w:pStyle w:val="Heading2"/>
        <w:spacing w:before="140" w:after="80"/>
      </w:pPr>
      <w:r>
        <w:rPr>
          <w:rFonts w:ascii="Aptos Display" w:hAnsi="Aptos Display"/>
          <w:b/>
          <w:color w:val="0B6B3A"/>
          <w:sz w:val="28"/>
        </w:rPr>
        <w:t>6.1 Officer Eligibility</w:t>
      </w:r>
    </w:p>
    <w:p>
      <w:pPr>
        <w:pStyle w:val="ListBullet"/>
        <w:spacing w:after="50"/>
      </w:pPr>
      <w:r>
        <w:rPr>
          <w:rFonts w:ascii="Aptos" w:hAnsi="Aptos"/>
          <w:b w:val="0"/>
          <w:i w:val="0"/>
          <w:color w:val="1F1F1F"/>
          <w:sz w:val="20"/>
        </w:rPr>
        <w:t>Student must be currently enrolled and in good standing with the organization.</w:t>
      </w:r>
    </w:p>
    <w:p>
      <w:pPr>
        <w:pStyle w:val="ListBullet"/>
        <w:spacing w:after="50"/>
      </w:pPr>
      <w:r>
        <w:rPr>
          <w:rFonts w:ascii="Aptos" w:hAnsi="Aptos"/>
          <w:b w:val="0"/>
          <w:i w:val="0"/>
          <w:color w:val="1F1F1F"/>
          <w:sz w:val="20"/>
        </w:rPr>
        <w:t>Officer candidates must demonstrate reasonable attendance, conduct, and academic responsibility.</w:t>
      </w:r>
    </w:p>
    <w:p>
      <w:pPr>
        <w:pStyle w:val="ListBullet"/>
        <w:spacing w:after="50"/>
      </w:pPr>
      <w:r>
        <w:rPr>
          <w:rFonts w:ascii="Aptos" w:hAnsi="Aptos"/>
          <w:b w:val="0"/>
          <w:i w:val="0"/>
          <w:color w:val="1F1F1F"/>
          <w:sz w:val="20"/>
        </w:rPr>
        <w:t>The sponsor may recommend minimum participation before a student runs for office.</w:t>
      </w:r>
    </w:p>
    <w:p>
      <w:pPr>
        <w:pStyle w:val="ListBullet"/>
        <w:spacing w:after="50"/>
      </w:pPr>
      <w:r>
        <w:rPr>
          <w:rFonts w:ascii="Aptos" w:hAnsi="Aptos"/>
          <w:b w:val="0"/>
          <w:i w:val="0"/>
          <w:color w:val="1F1F1F"/>
          <w:sz w:val="20"/>
        </w:rPr>
        <w:t>Administration may restrict a student from an officer role when necessary for significant conduct/safety reasons.</w:t>
      </w:r>
    </w:p>
    <w:p>
      <w:pPr>
        <w:pStyle w:val="Heading2"/>
        <w:spacing w:before="140" w:after="80"/>
      </w:pPr>
      <w:r>
        <w:rPr>
          <w:rFonts w:ascii="Aptos Display" w:hAnsi="Aptos Display"/>
          <w:b/>
          <w:color w:val="0B6B3A"/>
          <w:sz w:val="28"/>
        </w:rPr>
        <w:t>6.2 Elections</w:t>
      </w:r>
    </w:p>
    <w:p>
      <w:pPr>
        <w:spacing w:after="100"/>
      </w:pPr>
      <w:r>
        <w:rPr>
          <w:rFonts w:ascii="Aptos" w:hAnsi="Aptos"/>
          <w:b w:val="0"/>
          <w:i w:val="0"/>
          <w:color w:val="1F1F1F"/>
          <w:sz w:val="21"/>
        </w:rPr>
        <w:t>Organizations should hold elections at a predictable time each year. Sponsors must supervise nominations and voting, maintain neutrality, and ensure results are recorded. Secret ballot or secure digital voting is preferred for contested offices.</w:t>
      </w:r>
    </w:p>
    <w:p>
      <w:r>
        <w:br w:type="page"/>
      </w:r>
    </w:p>
    <w:p>
      <w:pPr>
        <w:pStyle w:val="Heading1"/>
        <w:spacing w:before="180" w:after="80"/>
      </w:pPr>
      <w:r>
        <w:rPr>
          <w:rFonts w:ascii="Aptos Display" w:hAnsi="Aptos Display"/>
          <w:b/>
          <w:color w:val="064B2C"/>
          <w:sz w:val="36"/>
        </w:rPr>
        <w:t>7. Faculty/Staff Sponsor Responsibilities</w:t>
      </w:r>
    </w:p>
    <w:p>
      <w:pPr>
        <w:spacing w:after="100"/>
      </w:pPr>
      <w:r>
        <w:rPr>
          <w:rFonts w:ascii="Aptos" w:hAnsi="Aptos"/>
          <w:b w:val="0"/>
          <w:i w:val="0"/>
          <w:color w:val="1F1F1F"/>
          <w:sz w:val="21"/>
        </w:rPr>
        <w:t>The sponsor is the school’s responsible adult for the organization. Sponsorship is active supervision, not merely allowing students to use a room.</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240"/>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Before</w:t>
            </w:r>
          </w:p>
        </w:tc>
        <w:tc>
          <w:tcPr>
            <w:tcW w:type="dxa" w:w="3240"/>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During</w:t>
            </w:r>
          </w:p>
        </w:tc>
        <w:tc>
          <w:tcPr>
            <w:tcW w:type="dxa" w:w="3240"/>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After</w:t>
            </w:r>
          </w:p>
        </w:tc>
      </w:tr>
      <w:tr>
        <w:tc>
          <w:tcPr>
            <w:tcW w:type="dxa" w:w="324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Confirm meeting/event approval; reserve space; review agenda; identify safety/technology needs.</w:t>
            </w:r>
          </w:p>
        </w:tc>
        <w:tc>
          <w:tcPr>
            <w:tcW w:type="dxa" w:w="324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Remain present and accessible; supervise conduct; guide student leaders; enforce school rules.</w:t>
            </w:r>
          </w:p>
        </w:tc>
        <w:tc>
          <w:tcPr>
            <w:tcW w:type="dxa" w:w="324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Ensure area is restored; secure equipment; confirm attendance/minutes; report incidents or financial activity.</w:t>
            </w:r>
          </w:p>
        </w:tc>
      </w:tr>
      <w:tr>
        <w:tc>
          <w:tcPr>
            <w:tcW w:type="dxa" w:w="324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Review announcements, posts, graphics, and external communications when school affiliation is used.</w:t>
            </w:r>
          </w:p>
        </w:tc>
        <w:tc>
          <w:tcPr>
            <w:tcW w:type="dxa" w:w="324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Prevent hazing, harassment, unsafe activities, unsupervised restricted-area access, or unapproved spending.</w:t>
            </w:r>
          </w:p>
        </w:tc>
        <w:tc>
          <w:tcPr>
            <w:tcW w:type="dxa" w:w="324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Maintain required club records and follow up on action items or administrative conditions.</w:t>
            </w:r>
          </w:p>
        </w:tc>
      </w:tr>
    </w:tbl>
    <w:p>
      <w:pPr>
        <w:spacing w:after="20"/>
      </w:pPr>
    </w:p>
    <w:p>
      <w:pPr>
        <w:pStyle w:val="Heading2"/>
        <w:spacing w:before="140" w:after="80"/>
      </w:pPr>
      <w:r>
        <w:rPr>
          <w:rFonts w:ascii="Aptos Display" w:hAnsi="Aptos Display"/>
          <w:b/>
          <w:color w:val="0B6B3A"/>
          <w:sz w:val="28"/>
        </w:rPr>
        <w:t>7.1 Sponsor Boundaries</w:t>
      </w:r>
    </w:p>
    <w:p>
      <w:pPr>
        <w:pStyle w:val="ListBullet"/>
        <w:spacing w:after="50"/>
      </w:pPr>
      <w:r>
        <w:rPr>
          <w:rFonts w:ascii="Aptos" w:hAnsi="Aptos"/>
          <w:b w:val="0"/>
          <w:i w:val="0"/>
          <w:color w:val="1F1F1F"/>
          <w:sz w:val="20"/>
        </w:rPr>
        <w:t>Sponsors may coach student leaders but should not run every aspect of the club themselves.</w:t>
      </w:r>
    </w:p>
    <w:p>
      <w:pPr>
        <w:pStyle w:val="ListBullet"/>
        <w:spacing w:after="50"/>
      </w:pPr>
      <w:r>
        <w:rPr>
          <w:rFonts w:ascii="Aptos" w:hAnsi="Aptos"/>
          <w:b w:val="0"/>
          <w:i w:val="0"/>
          <w:color w:val="1F1F1F"/>
          <w:sz w:val="20"/>
        </w:rPr>
        <w:t>Sponsors may not authorize expenses, travel, facility use, external partnerships, or high-risk activities outside their approval authority.</w:t>
      </w:r>
    </w:p>
    <w:p>
      <w:pPr>
        <w:pStyle w:val="ListBullet"/>
        <w:spacing w:after="50"/>
      </w:pPr>
      <w:r>
        <w:rPr>
          <w:rFonts w:ascii="Aptos" w:hAnsi="Aptos"/>
          <w:b w:val="0"/>
          <w:i w:val="0"/>
          <w:color w:val="1F1F1F"/>
          <w:sz w:val="20"/>
        </w:rPr>
        <w:t>Sponsors should avoid private one-to-one digital spaces with students when official school channels or group spaces can be used.</w:t>
      </w:r>
    </w:p>
    <w:p>
      <w:pPr>
        <w:pStyle w:val="ListBullet"/>
        <w:spacing w:after="50"/>
      </w:pPr>
      <w:r>
        <w:rPr>
          <w:rFonts w:ascii="Aptos" w:hAnsi="Aptos"/>
          <w:b w:val="0"/>
          <w:i w:val="0"/>
          <w:color w:val="1F1F1F"/>
          <w:sz w:val="20"/>
        </w:rPr>
        <w:t>Sponsors must immediately escalate safety threats, harassment, serious misconduct, injuries, or suspected abuse according to school procedures.</w:t>
      </w:r>
    </w:p>
    <w:p>
      <w:pPr>
        <w:pStyle w:val="Heading1"/>
        <w:spacing w:before="180" w:after="80"/>
      </w:pPr>
      <w:r>
        <w:rPr>
          <w:rFonts w:ascii="Aptos Display" w:hAnsi="Aptos Display"/>
          <w:b/>
          <w:color w:val="064B2C"/>
          <w:sz w:val="36"/>
        </w:rPr>
        <w:t>8. Meetings &amp; Green Day Operations</w:t>
      </w:r>
    </w:p>
    <w:p>
      <w:pPr>
        <w:pStyle w:val="Heading2"/>
        <w:spacing w:before="140" w:after="80"/>
      </w:pPr>
      <w:r>
        <w:rPr>
          <w:rFonts w:ascii="Aptos Display" w:hAnsi="Aptos Display"/>
          <w:b/>
          <w:color w:val="0B6B3A"/>
          <w:sz w:val="28"/>
        </w:rPr>
        <w:t>8.1 Green Day G3</w:t>
      </w:r>
    </w:p>
    <w:p>
      <w:pPr>
        <w:spacing w:after="100"/>
      </w:pPr>
      <w:r>
        <w:rPr>
          <w:rFonts w:ascii="Aptos" w:hAnsi="Aptos"/>
          <w:b w:val="0"/>
          <w:i w:val="0"/>
          <w:color w:val="1F1F1F"/>
          <w:sz w:val="21"/>
        </w:rPr>
        <w:t>G3 – Clubs, Pathways &amp; Enrichment is East Green’s primary student-organization block. Organizations may be assigned a regular G3 meeting location and sponsor. Students assigned to mandatory intervention or another required activity must report there before participating in elective club programming.</w:t>
      </w:r>
    </w:p>
    <w:p>
      <w:pPr>
        <w:pStyle w:val="Heading2"/>
        <w:spacing w:before="140" w:after="80"/>
      </w:pPr>
      <w:r>
        <w:rPr>
          <w:rFonts w:ascii="Aptos Display" w:hAnsi="Aptos Display"/>
          <w:b/>
          <w:color w:val="0B6B3A"/>
          <w:sz w:val="28"/>
        </w:rPr>
        <w:t>8.2 Additional Meetings</w:t>
      </w:r>
    </w:p>
    <w:p>
      <w:pPr>
        <w:spacing w:after="100"/>
      </w:pPr>
      <w:r>
        <w:rPr>
          <w:rFonts w:ascii="Aptos" w:hAnsi="Aptos"/>
          <w:b w:val="0"/>
          <w:i w:val="0"/>
          <w:color w:val="1F1F1F"/>
          <w:sz w:val="21"/>
        </w:rPr>
        <w:t>Meetings outside G3 require sponsor availability and facility approval. The organization must not interfere with required instruction, supervision responsibilities, or dismissal procedures.</w:t>
      </w:r>
    </w:p>
    <w:p>
      <w:r>
        <w:br w:type="page"/>
      </w:r>
    </w:p>
    <w:p>
      <w:pPr>
        <w:pStyle w:val="Heading2"/>
        <w:spacing w:before="140" w:after="80"/>
      </w:pPr>
      <w:r>
        <w:rPr>
          <w:rFonts w:ascii="Aptos Display" w:hAnsi="Aptos Display"/>
          <w:b/>
          <w:color w:val="0B6B3A"/>
          <w:sz w:val="28"/>
        </w:rPr>
        <w:t>8.3 Meeting Standards</w:t>
      </w:r>
    </w:p>
    <w:p>
      <w:pPr>
        <w:pStyle w:val="ListBullet"/>
        <w:spacing w:after="50"/>
      </w:pPr>
      <w:r>
        <w:rPr>
          <w:rFonts w:ascii="Aptos" w:hAnsi="Aptos"/>
          <w:b w:val="0"/>
          <w:i w:val="0"/>
          <w:color w:val="1F1F1F"/>
          <w:sz w:val="20"/>
        </w:rPr>
        <w:t>Use an agenda for business meetings.</w:t>
      </w:r>
    </w:p>
    <w:p>
      <w:pPr>
        <w:pStyle w:val="ListBullet"/>
        <w:spacing w:after="50"/>
      </w:pPr>
      <w:r>
        <w:rPr>
          <w:rFonts w:ascii="Aptos" w:hAnsi="Aptos"/>
          <w:b w:val="0"/>
          <w:i w:val="0"/>
          <w:color w:val="1F1F1F"/>
          <w:sz w:val="20"/>
        </w:rPr>
        <w:t>Record attendance when required for participation, competitions, or leadership eligibility.</w:t>
      </w:r>
    </w:p>
    <w:p>
      <w:pPr>
        <w:pStyle w:val="ListBullet"/>
        <w:spacing w:after="50"/>
      </w:pPr>
      <w:r>
        <w:rPr>
          <w:rFonts w:ascii="Aptos" w:hAnsi="Aptos"/>
          <w:b w:val="0"/>
          <w:i w:val="0"/>
          <w:color w:val="1F1F1F"/>
          <w:sz w:val="20"/>
        </w:rPr>
        <w:t>Maintain brief minutes documenting decisions, approvals needed, assignments, and upcoming events.</w:t>
      </w:r>
    </w:p>
    <w:p>
      <w:pPr>
        <w:pStyle w:val="ListBullet"/>
        <w:spacing w:after="50"/>
      </w:pPr>
      <w:r>
        <w:rPr>
          <w:rFonts w:ascii="Aptos" w:hAnsi="Aptos"/>
          <w:b w:val="0"/>
          <w:i w:val="0"/>
          <w:color w:val="1F1F1F"/>
          <w:sz w:val="20"/>
        </w:rPr>
        <w:t>No meeting may continue without the approved sponsor or designated adult coverage.</w:t>
      </w:r>
    </w:p>
    <w:p>
      <w:pPr>
        <w:pStyle w:val="Heading1"/>
        <w:spacing w:before="180" w:after="80"/>
      </w:pPr>
      <w:r>
        <w:rPr>
          <w:rFonts w:ascii="Aptos Display" w:hAnsi="Aptos Display"/>
          <w:b/>
          <w:color w:val="064B2C"/>
          <w:sz w:val="36"/>
        </w:rPr>
        <w:t>9. Events, Activities &amp; Special Programs</w:t>
      </w:r>
    </w:p>
    <w:p>
      <w:pPr>
        <w:spacing w:after="100"/>
      </w:pPr>
      <w:r>
        <w:rPr>
          <w:rFonts w:ascii="Aptos" w:hAnsi="Aptos"/>
          <w:b w:val="0"/>
          <w:i w:val="0"/>
          <w:color w:val="1F1F1F"/>
          <w:sz w:val="21"/>
        </w:rPr>
        <w:t>Events include performances, competitions, guest speakers, tournaments, showcases, dances, service projects, schoolwide campaigns, workshops, and any organization-sponsored gathering beyond a routine meeting.</w:t>
      </w:r>
    </w:p>
    <w:p>
      <w:pPr>
        <w:pStyle w:val="Heading2"/>
        <w:spacing w:before="140" w:after="80"/>
      </w:pPr>
      <w:r>
        <w:rPr>
          <w:rFonts w:ascii="Aptos Display" w:hAnsi="Aptos Display"/>
          <w:b/>
          <w:color w:val="0B6B3A"/>
          <w:sz w:val="28"/>
        </w:rPr>
        <w:t>9.1 Event Approval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Event Element</w:t>
            </w:r>
          </w:p>
        </w:tc>
        <w:tc>
          <w:tcPr>
            <w:tcW w:type="dxa" w:w="6552"/>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Required Review</w:t>
            </w:r>
          </w:p>
        </w:tc>
      </w:tr>
      <w:tr>
        <w:tc>
          <w:tcPr>
            <w:tcW w:type="dxa" w:w="324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Date/time/location</w:t>
            </w:r>
          </w:p>
        </w:tc>
        <w:tc>
          <w:tcPr>
            <w:tcW w:type="dxa" w:w="655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Facility availability, supervision, conflicts, custodial/technology needs.</w:t>
            </w:r>
          </w:p>
        </w:tc>
      </w:tr>
      <w:tr>
        <w:tc>
          <w:tcPr>
            <w:tcW w:type="dxa" w:w="324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Student participation</w:t>
            </w:r>
          </w:p>
        </w:tc>
        <w:tc>
          <w:tcPr>
            <w:tcW w:type="dxa" w:w="655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Eligibility, attendance expectations, capacity, supervision ratio where needed.</w:t>
            </w:r>
          </w:p>
        </w:tc>
      </w:tr>
      <w:tr>
        <w:tc>
          <w:tcPr>
            <w:tcW w:type="dxa" w:w="324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Guests / outside organizations</w:t>
            </w:r>
          </w:p>
        </w:tc>
        <w:tc>
          <w:tcPr>
            <w:tcW w:type="dxa" w:w="655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Purpose, access, supervision, communication, visitor procedure.</w:t>
            </w:r>
          </w:p>
        </w:tc>
      </w:tr>
      <w:tr>
        <w:tc>
          <w:tcPr>
            <w:tcW w:type="dxa" w:w="324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Food</w:t>
            </w:r>
          </w:p>
        </w:tc>
        <w:tc>
          <w:tcPr>
            <w:tcW w:type="dxa" w:w="655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Food safety, allergy awareness, cleanup, permitted preparation/service areas.</w:t>
            </w:r>
          </w:p>
        </w:tc>
      </w:tr>
      <w:tr>
        <w:tc>
          <w:tcPr>
            <w:tcW w:type="dxa" w:w="324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Money / sales</w:t>
            </w:r>
          </w:p>
        </w:tc>
        <w:tc>
          <w:tcPr>
            <w:tcW w:type="dxa" w:w="655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Fundraising approval, pricing, cash/payment handling, purchasing plan.</w:t>
            </w:r>
          </w:p>
        </w:tc>
      </w:tr>
      <w:tr>
        <w:tc>
          <w:tcPr>
            <w:tcW w:type="dxa" w:w="324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High-risk activity</w:t>
            </w:r>
          </w:p>
        </w:tc>
        <w:tc>
          <w:tcPr>
            <w:tcW w:type="dxa" w:w="655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Specific administrative approval, safety controls, equipment, emergency plan.</w:t>
            </w:r>
          </w:p>
        </w:tc>
      </w:tr>
    </w:tbl>
    <w:p>
      <w:pPr>
        <w:spacing w:after="20"/>
      </w:pPr>
    </w:p>
    <w:p>
      <w:pPr>
        <w:pStyle w:val="Heading2"/>
        <w:spacing w:before="140" w:after="80"/>
      </w:pPr>
      <w:r>
        <w:rPr>
          <w:rFonts w:ascii="Aptos Display" w:hAnsi="Aptos Display"/>
          <w:b/>
          <w:color w:val="0B6B3A"/>
          <w:sz w:val="28"/>
        </w:rPr>
        <w:t>9.2 Event Timeline</w:t>
      </w:r>
    </w:p>
    <w:p>
      <w:pPr>
        <w:pStyle w:val="ListBullet"/>
        <w:spacing w:after="50"/>
      </w:pPr>
      <w:r>
        <w:rPr>
          <w:rFonts w:ascii="Aptos" w:hAnsi="Aptos"/>
          <w:b w:val="0"/>
          <w:i w:val="0"/>
          <w:color w:val="1F1F1F"/>
          <w:sz w:val="20"/>
        </w:rPr>
        <w:t>Routine small event: submit request at least one school week before the event when practical.</w:t>
      </w:r>
    </w:p>
    <w:p>
      <w:pPr>
        <w:pStyle w:val="ListBullet"/>
        <w:spacing w:after="50"/>
      </w:pPr>
      <w:r>
        <w:rPr>
          <w:rFonts w:ascii="Aptos" w:hAnsi="Aptos"/>
          <w:b w:val="0"/>
          <w:i w:val="0"/>
          <w:color w:val="1F1F1F"/>
          <w:sz w:val="20"/>
        </w:rPr>
        <w:t>Large, public, fundraising, guest-heavy, or facility-intensive event: submit at least two school weeks in advance when practical.</w:t>
      </w:r>
    </w:p>
    <w:p>
      <w:pPr>
        <w:pStyle w:val="ListBullet"/>
        <w:spacing w:after="50"/>
      </w:pPr>
      <w:r>
        <w:rPr>
          <w:rFonts w:ascii="Aptos" w:hAnsi="Aptos"/>
          <w:b w:val="0"/>
          <w:i w:val="0"/>
          <w:color w:val="1F1F1F"/>
          <w:sz w:val="20"/>
        </w:rPr>
        <w:t>Travel/competition: submit as early as possible to allow permissions, transportation, supervision, and roster review.</w:t>
      </w:r>
    </w:p>
    <w:p>
      <w:pPr>
        <w:pStyle w:val="Heading1"/>
        <w:spacing w:before="180" w:after="80"/>
      </w:pPr>
      <w:r>
        <w:rPr>
          <w:rFonts w:ascii="Aptos Display" w:hAnsi="Aptos Display"/>
          <w:b/>
          <w:color w:val="064B2C"/>
          <w:sz w:val="36"/>
        </w:rPr>
        <w:t>10. Fundraising, Money &amp; Purchases</w:t>
      </w:r>
    </w:p>
    <w:tbl>
      <w:tblPr>
        <w:tblW w:type="auto" w:w="0"/>
        <w:jc w:val="center"/>
        <w:tblLayout w:type="fixed"/>
        <w:tblLook w:firstColumn="1" w:firstRow="1" w:lastColumn="0" w:lastRow="0" w:noHBand="0" w:noVBand="1" w:val="04A0"/>
      </w:tblPr>
      <w:tblGrid>
        <w:gridCol w:w="9792"/>
      </w:tblGrid>
      <w:tr>
        <w:trPr>
          <w:cantSplit/>
        </w:trPr>
        <w:tc>
          <w:tcPr>
            <w:tcW w:type="dxa" w:w="10166"/>
            <w:shd w:fill="EAF3EC"/>
            <w:tcBorders>
              <w:top w:val="single" w:sz="10" w:color="B7CDBD"/>
              <w:left w:val="single" w:sz="10" w:color="B7CDBD"/>
              <w:bottom w:val="single" w:sz="10" w:color="B7CDBD"/>
              <w:right w:val="single" w:sz="10" w:color="B7CDBD"/>
              <w:insideH w:val="single" w:sz="10" w:color="B7CDBD"/>
              <w:insideV w:val="single" w:sz="10" w:color="B7CDBD"/>
            </w:tcBorders>
            <w:tcMar>
              <w:top w:w="160" w:type="dxa"/>
              <w:start w:w="180" w:type="dxa"/>
              <w:bottom w:w="160" w:type="dxa"/>
              <w:end w:w="180" w:type="dxa"/>
            </w:tcMar>
          </w:tcPr>
          <w:p>
            <w:pPr>
              <w:spacing w:after="80"/>
            </w:pPr>
            <w:r>
              <w:rPr>
                <w:rFonts w:ascii="Aptos" w:hAnsi="Aptos"/>
                <w:b/>
                <w:i w:val="0"/>
                <w:color w:val="064B2C"/>
                <w:sz w:val="21"/>
              </w:rPr>
              <w:t>CORE RULE</w:t>
            </w:r>
          </w:p>
          <w:p>
            <w:pPr>
              <w:spacing w:after="0"/>
            </w:pPr>
            <w:r>
              <w:rPr>
                <w:rFonts w:ascii="Aptos" w:hAnsi="Aptos"/>
                <w:b w:val="0"/>
                <w:i w:val="0"/>
                <w:color w:val="1F1F1F"/>
                <w:sz w:val="20"/>
              </w:rPr>
              <w:t>Student organizations do not independently collect, spend, store, or promise school-affiliated money. All financial activity must use the school’s approved process and sponsor oversight.</w:t>
            </w:r>
          </w:p>
        </w:tc>
      </w:tr>
    </w:tbl>
    <w:p>
      <w:pPr>
        <w:spacing w:after="20"/>
      </w:pPr>
    </w:p>
    <w:p>
      <w:pPr>
        <w:pStyle w:val="Heading2"/>
        <w:spacing w:before="140" w:after="80"/>
      </w:pPr>
      <w:r>
        <w:rPr>
          <w:rFonts w:ascii="Aptos Display" w:hAnsi="Aptos Display"/>
          <w:b/>
          <w:color w:val="0B6B3A"/>
          <w:sz w:val="28"/>
        </w:rPr>
        <w:t>10.1 Fundraising Approval</w:t>
      </w:r>
    </w:p>
    <w:p>
      <w:pPr>
        <w:pStyle w:val="ListBullet"/>
        <w:spacing w:after="50"/>
      </w:pPr>
      <w:r>
        <w:rPr>
          <w:rFonts w:ascii="Aptos" w:hAnsi="Aptos"/>
          <w:b w:val="0"/>
          <w:i w:val="0"/>
          <w:color w:val="1F1F1F"/>
          <w:sz w:val="20"/>
        </w:rPr>
        <w:t>State the purpose of the fundraiser and expected use of proceeds.</w:t>
      </w:r>
    </w:p>
    <w:p>
      <w:pPr>
        <w:pStyle w:val="ListBullet"/>
        <w:spacing w:after="50"/>
      </w:pPr>
      <w:r>
        <w:rPr>
          <w:rFonts w:ascii="Aptos" w:hAnsi="Aptos"/>
          <w:b w:val="0"/>
          <w:i w:val="0"/>
          <w:color w:val="1F1F1F"/>
          <w:sz w:val="20"/>
        </w:rPr>
        <w:t>Identify item/service being sold or activity being conducted.</w:t>
      </w:r>
    </w:p>
    <w:p>
      <w:pPr>
        <w:pStyle w:val="ListBullet"/>
        <w:spacing w:after="50"/>
      </w:pPr>
      <w:r>
        <w:rPr>
          <w:rFonts w:ascii="Aptos" w:hAnsi="Aptos"/>
          <w:b w:val="0"/>
          <w:i w:val="0"/>
          <w:color w:val="1F1F1F"/>
          <w:sz w:val="20"/>
        </w:rPr>
        <w:t>Obtain approval before advertising or collecting funds.</w:t>
      </w:r>
    </w:p>
    <w:p>
      <w:pPr>
        <w:pStyle w:val="ListBullet"/>
        <w:spacing w:after="50"/>
      </w:pPr>
      <w:r>
        <w:rPr>
          <w:rFonts w:ascii="Aptos" w:hAnsi="Aptos"/>
          <w:b w:val="0"/>
          <w:i w:val="0"/>
          <w:color w:val="1F1F1F"/>
          <w:sz w:val="20"/>
        </w:rPr>
        <w:t>Use approved collection/payment procedures and provide required accounting to the school.</w:t>
      </w:r>
    </w:p>
    <w:p>
      <w:pPr>
        <w:pStyle w:val="ListBullet"/>
        <w:spacing w:after="50"/>
      </w:pPr>
      <w:r>
        <w:rPr>
          <w:rFonts w:ascii="Aptos" w:hAnsi="Aptos"/>
          <w:b w:val="0"/>
          <w:i w:val="0"/>
          <w:color w:val="1F1F1F"/>
          <w:sz w:val="20"/>
        </w:rPr>
        <w:t>Do not use school affiliation for personal fundraising or private profit.</w:t>
      </w:r>
    </w:p>
    <w:p>
      <w:pPr>
        <w:pStyle w:val="Heading2"/>
        <w:spacing w:before="140" w:after="80"/>
      </w:pPr>
      <w:r>
        <w:rPr>
          <w:rFonts w:ascii="Aptos Display" w:hAnsi="Aptos Display"/>
          <w:b/>
          <w:color w:val="0B6B3A"/>
          <w:sz w:val="28"/>
        </w:rPr>
        <w:t>10.2 Purchases</w:t>
      </w:r>
    </w:p>
    <w:p>
      <w:pPr>
        <w:spacing w:after="100"/>
      </w:pPr>
      <w:r>
        <w:rPr>
          <w:rFonts w:ascii="Aptos" w:hAnsi="Aptos"/>
          <w:b w:val="0"/>
          <w:i w:val="0"/>
          <w:color w:val="1F1F1F"/>
          <w:sz w:val="21"/>
        </w:rPr>
        <w:t>Sponsors submit purchase/requisition requests using the school process. Students may recommend purchases and compare options, but may not place orders or enter financial agreements on behalf of East Green unless specifically authorized.</w:t>
      </w:r>
    </w:p>
    <w:p>
      <w:r>
        <w:br w:type="page"/>
      </w:r>
    </w:p>
    <w:p>
      <w:pPr>
        <w:pStyle w:val="Heading1"/>
        <w:spacing w:before="180" w:after="80"/>
      </w:pPr>
      <w:r>
        <w:rPr>
          <w:rFonts w:ascii="Aptos Display" w:hAnsi="Aptos Display"/>
          <w:b/>
          <w:color w:val="064B2C"/>
          <w:sz w:val="36"/>
        </w:rPr>
        <w:t>11. Communications, Branding &amp; Online Spaces</w:t>
      </w:r>
    </w:p>
    <w:p>
      <w:pPr>
        <w:pStyle w:val="Heading2"/>
        <w:spacing w:before="140" w:after="80"/>
      </w:pPr>
      <w:r>
        <w:rPr>
          <w:rFonts w:ascii="Aptos Display" w:hAnsi="Aptos Display"/>
          <w:b/>
          <w:color w:val="0B6B3A"/>
          <w:sz w:val="28"/>
        </w:rPr>
        <w:t>11.1 School Name and Branding</w:t>
      </w:r>
    </w:p>
    <w:p>
      <w:pPr>
        <w:pStyle w:val="ListBullet"/>
        <w:spacing w:after="50"/>
      </w:pPr>
      <w:r>
        <w:rPr>
          <w:rFonts w:ascii="Aptos" w:hAnsi="Aptos"/>
          <w:b w:val="0"/>
          <w:i w:val="0"/>
          <w:color w:val="1F1F1F"/>
          <w:sz w:val="20"/>
        </w:rPr>
        <w:t>Use the official name “East Green High School” accurately.</w:t>
      </w:r>
    </w:p>
    <w:p>
      <w:pPr>
        <w:pStyle w:val="ListBullet"/>
        <w:spacing w:after="50"/>
      </w:pPr>
      <w:r>
        <w:rPr>
          <w:rFonts w:ascii="Aptos" w:hAnsi="Aptos"/>
          <w:b w:val="0"/>
          <w:i w:val="0"/>
          <w:color w:val="1F1F1F"/>
          <w:sz w:val="20"/>
        </w:rPr>
        <w:t>School logos, wolf imagery, colors, and organization logos should remain appropriate and consistent with the School Communications Guide.</w:t>
      </w:r>
    </w:p>
    <w:p>
      <w:pPr>
        <w:pStyle w:val="ListBullet"/>
        <w:spacing w:after="50"/>
      </w:pPr>
      <w:r>
        <w:rPr>
          <w:rFonts w:ascii="Aptos" w:hAnsi="Aptos"/>
          <w:b w:val="0"/>
          <w:i w:val="0"/>
          <w:color w:val="1F1F1F"/>
          <w:sz w:val="20"/>
        </w:rPr>
        <w:t>Public graphics should be reviewed by the sponsor before posting through official school-affiliated channels.</w:t>
      </w:r>
    </w:p>
    <w:p>
      <w:pPr>
        <w:pStyle w:val="ListBullet"/>
        <w:spacing w:after="50"/>
      </w:pPr>
      <w:r>
        <w:rPr>
          <w:rFonts w:ascii="Aptos" w:hAnsi="Aptos"/>
          <w:b w:val="0"/>
          <w:i w:val="0"/>
          <w:color w:val="1F1F1F"/>
          <w:sz w:val="20"/>
        </w:rPr>
        <w:t>Do not create the impression that a student opinion is an official school statement.</w:t>
      </w:r>
    </w:p>
    <w:p>
      <w:pPr>
        <w:pStyle w:val="Heading2"/>
        <w:spacing w:before="140" w:after="80"/>
      </w:pPr>
      <w:r>
        <w:rPr>
          <w:rFonts w:ascii="Aptos Display" w:hAnsi="Aptos Display"/>
          <w:b/>
          <w:color w:val="0B6B3A"/>
          <w:sz w:val="28"/>
        </w:rPr>
        <w:t>11.2 Discord, Roblox, and Other Digital Spaces</w:t>
      </w:r>
    </w:p>
    <w:p>
      <w:pPr>
        <w:spacing w:after="100"/>
      </w:pPr>
      <w:r>
        <w:rPr>
          <w:rFonts w:ascii="Aptos" w:hAnsi="Aptos"/>
          <w:b w:val="0"/>
          <w:i w:val="0"/>
          <w:color w:val="1F1F1F"/>
          <w:sz w:val="21"/>
        </w:rPr>
        <w:t>A club may use approved online spaces for communication or roleplay coordination. The sponsor must know the space exists, have access when appropriate, and ensure school conduct expectations apply. Student-created private groups are not automatically official school channels.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824"/>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Allowed</w:t>
            </w:r>
          </w:p>
        </w:tc>
        <w:tc>
          <w:tcPr>
            <w:tcW w:type="dxa" w:w="4968"/>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Not Allowed</w:t>
            </w:r>
          </w:p>
        </w:tc>
      </w:tr>
      <w:tr>
        <w:tc>
          <w:tcPr>
            <w:tcW w:type="dxa" w:w="4824"/>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Meeting reminders, approved event announcements, project coordination, resource links, moderated discussion.</w:t>
            </w:r>
          </w:p>
        </w:tc>
        <w:tc>
          <w:tcPr>
            <w:tcW w:type="dxa" w:w="496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Harassment, sexual content, threats, sharing private records, impersonating staff, unapproved fundraising, bypassing moderation.</w:t>
            </w:r>
          </w:p>
        </w:tc>
      </w:tr>
      <w:tr>
        <w:tc>
          <w:tcPr>
            <w:tcW w:type="dxa" w:w="4824"/>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Approved school graphics and organization updates.</w:t>
            </w:r>
          </w:p>
        </w:tc>
        <w:tc>
          <w:tcPr>
            <w:tcW w:type="dxa" w:w="496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Using the East Green name for an unauthorized server/group or external partnership.</w:t>
            </w:r>
          </w:p>
        </w:tc>
      </w:tr>
    </w:tbl>
    <w:p>
      <w:pPr>
        <w:spacing w:after="20"/>
      </w:pPr>
    </w:p>
    <w:p>
      <w:pPr>
        <w:pStyle w:val="Heading1"/>
        <w:spacing w:before="180" w:after="80"/>
      </w:pPr>
      <w:r>
        <w:rPr>
          <w:rFonts w:ascii="Aptos Display" w:hAnsi="Aptos Display"/>
          <w:b/>
          <w:color w:val="064B2C"/>
          <w:sz w:val="36"/>
        </w:rPr>
        <w:t>12. Travel, Competitions &amp; Off-Campus Activities</w:t>
      </w:r>
    </w:p>
    <w:p>
      <w:pPr>
        <w:pStyle w:val="ListBullet"/>
        <w:spacing w:after="50"/>
      </w:pPr>
      <w:r>
        <w:rPr>
          <w:rFonts w:ascii="Aptos" w:hAnsi="Aptos"/>
          <w:b w:val="0"/>
          <w:i w:val="0"/>
          <w:color w:val="1F1F1F"/>
          <w:sz w:val="20"/>
        </w:rPr>
        <w:t>All travel requires administrative approval and an approved student roster.</w:t>
      </w:r>
    </w:p>
    <w:p>
      <w:pPr>
        <w:pStyle w:val="ListBullet"/>
        <w:spacing w:after="50"/>
      </w:pPr>
      <w:r>
        <w:rPr>
          <w:rFonts w:ascii="Aptos" w:hAnsi="Aptos"/>
          <w:b w:val="0"/>
          <w:i w:val="0"/>
          <w:color w:val="1F1F1F"/>
          <w:sz w:val="20"/>
        </w:rPr>
        <w:t>Parent/guardian permission and emergency information must be collected when required.</w:t>
      </w:r>
    </w:p>
    <w:p>
      <w:pPr>
        <w:pStyle w:val="ListBullet"/>
        <w:spacing w:after="50"/>
      </w:pPr>
      <w:r>
        <w:rPr>
          <w:rFonts w:ascii="Aptos" w:hAnsi="Aptos"/>
          <w:b w:val="0"/>
          <w:i w:val="0"/>
          <w:color w:val="1F1F1F"/>
          <w:sz w:val="20"/>
        </w:rPr>
        <w:t>Students remain subject to school conduct expectations while traveling or representing East Green.</w:t>
      </w:r>
    </w:p>
    <w:p>
      <w:pPr>
        <w:pStyle w:val="ListBullet"/>
        <w:spacing w:after="50"/>
      </w:pPr>
      <w:r>
        <w:rPr>
          <w:rFonts w:ascii="Aptos" w:hAnsi="Aptos"/>
          <w:b w:val="0"/>
          <w:i w:val="0"/>
          <w:color w:val="1F1F1F"/>
          <w:sz w:val="20"/>
        </w:rPr>
        <w:t>Sponsors must maintain student accountability, emergency contacts, and transportation plans.</w:t>
      </w:r>
    </w:p>
    <w:p>
      <w:pPr>
        <w:pStyle w:val="ListBullet"/>
        <w:spacing w:after="50"/>
      </w:pPr>
      <w:r>
        <w:rPr>
          <w:rFonts w:ascii="Aptos" w:hAnsi="Aptos"/>
          <w:b w:val="0"/>
          <w:i w:val="0"/>
          <w:color w:val="1F1F1F"/>
          <w:sz w:val="20"/>
        </w:rPr>
        <w:t>Overnight or unusually high-risk travel requires principal-level review and any district-level approval that applies.</w:t>
      </w:r>
    </w:p>
    <w:p>
      <w:pPr>
        <w:pStyle w:val="Heading1"/>
        <w:spacing w:before="180" w:after="80"/>
      </w:pPr>
      <w:r>
        <w:rPr>
          <w:rFonts w:ascii="Aptos Display" w:hAnsi="Aptos Display"/>
          <w:b/>
          <w:color w:val="064B2C"/>
          <w:sz w:val="36"/>
        </w:rPr>
        <w:t>13. Safety, Hazing &amp; Prohibited Activities</w:t>
      </w:r>
    </w:p>
    <w:tbl>
      <w:tblPr>
        <w:tblW w:type="auto" w:w="0"/>
        <w:jc w:val="center"/>
        <w:tblLayout w:type="fixed"/>
        <w:tblLook w:firstColumn="1" w:firstRow="1" w:lastColumn="0" w:lastRow="0" w:noHBand="0" w:noVBand="1" w:val="04A0"/>
      </w:tblPr>
      <w:tblGrid>
        <w:gridCol w:w="9792"/>
      </w:tblGrid>
      <w:tr>
        <w:trPr>
          <w:cantSplit/>
        </w:trPr>
        <w:tc>
          <w:tcPr>
            <w:tcW w:type="dxa" w:w="10166"/>
            <w:shd w:fill="EAF3EC"/>
            <w:tcBorders>
              <w:top w:val="single" w:sz="10" w:color="B7CDBD"/>
              <w:left w:val="single" w:sz="10" w:color="B7CDBD"/>
              <w:bottom w:val="single" w:sz="10" w:color="B7CDBD"/>
              <w:right w:val="single" w:sz="10" w:color="B7CDBD"/>
              <w:insideH w:val="single" w:sz="10" w:color="B7CDBD"/>
              <w:insideV w:val="single" w:sz="10" w:color="B7CDBD"/>
            </w:tcBorders>
            <w:tcMar>
              <w:top w:w="160" w:type="dxa"/>
              <w:start w:w="180" w:type="dxa"/>
              <w:bottom w:w="160" w:type="dxa"/>
              <w:end w:w="180" w:type="dxa"/>
            </w:tcMar>
          </w:tcPr>
          <w:p>
            <w:pPr>
              <w:spacing w:after="80"/>
            </w:pPr>
            <w:r>
              <w:rPr>
                <w:rFonts w:ascii="Aptos" w:hAnsi="Aptos"/>
                <w:b/>
                <w:i w:val="0"/>
                <w:color w:val="064B2C"/>
                <w:sz w:val="21"/>
              </w:rPr>
              <w:t>ZERO TOLERANCE FOR HAZING</w:t>
            </w:r>
          </w:p>
          <w:p>
            <w:pPr>
              <w:spacing w:after="0"/>
            </w:pPr>
            <w:r>
              <w:rPr>
                <w:rFonts w:ascii="Aptos" w:hAnsi="Aptos"/>
                <w:b w:val="0"/>
                <w:i w:val="0"/>
                <w:color w:val="1F1F1F"/>
                <w:sz w:val="20"/>
              </w:rPr>
              <w:t>No initiation, tradition, challenge, prank, ranking system, or “rite of passage” may humiliate, threaten, injure, coerce, isolate, or pressure a student to participate in unsafe or degrading conduct.</w:t>
            </w:r>
          </w:p>
        </w:tc>
      </w:tr>
    </w:tbl>
    <w:p>
      <w:pPr>
        <w:spacing w:after="20"/>
      </w:pPr>
    </w:p>
    <w:p>
      <w:pPr>
        <w:pStyle w:val="ListBullet"/>
        <w:spacing w:after="50"/>
      </w:pPr>
      <w:r>
        <w:rPr>
          <w:rFonts w:ascii="Aptos" w:hAnsi="Aptos"/>
          <w:b w:val="0"/>
          <w:i w:val="0"/>
          <w:color w:val="1F1F1F"/>
          <w:sz w:val="20"/>
        </w:rPr>
        <w:t>Weapons or realistic weapon handling is prohibited except within an explicitly approved, controlled instructional simulation using authorized props/procedures.</w:t>
      </w:r>
    </w:p>
    <w:p>
      <w:pPr>
        <w:pStyle w:val="ListBullet"/>
        <w:spacing w:after="50"/>
      </w:pPr>
      <w:r>
        <w:rPr>
          <w:rFonts w:ascii="Aptos" w:hAnsi="Aptos"/>
          <w:b w:val="0"/>
          <w:i w:val="0"/>
          <w:color w:val="1F1F1F"/>
          <w:sz w:val="20"/>
        </w:rPr>
        <w:t>No dangerous stunts, unsupervised physical challenges, unauthorized chemicals, fires, or tampering with safety systems.</w:t>
      </w:r>
    </w:p>
    <w:p>
      <w:pPr>
        <w:pStyle w:val="ListBullet"/>
        <w:spacing w:after="50"/>
      </w:pPr>
      <w:r>
        <w:rPr>
          <w:rFonts w:ascii="Aptos" w:hAnsi="Aptos"/>
          <w:b w:val="0"/>
          <w:i w:val="0"/>
          <w:color w:val="1F1F1F"/>
          <w:sz w:val="20"/>
        </w:rPr>
        <w:t>Organizations may not require students to disclose private information, passwords, or intimate/personal material.</w:t>
      </w:r>
    </w:p>
    <w:p>
      <w:pPr>
        <w:pStyle w:val="ListBullet"/>
        <w:spacing w:after="50"/>
      </w:pPr>
      <w:r>
        <w:rPr>
          <w:rFonts w:ascii="Aptos" w:hAnsi="Aptos"/>
          <w:b w:val="0"/>
          <w:i w:val="0"/>
          <w:color w:val="1F1F1F"/>
          <w:sz w:val="20"/>
        </w:rPr>
        <w:t>Any injury, threat, bullying/harassment allegation, or significant conflict must be reported to the sponsor and appropriate administrator immediately.</w:t>
      </w:r>
    </w:p>
    <w:p>
      <w:pPr>
        <w:pStyle w:val="Heading1"/>
        <w:spacing w:before="180" w:after="80"/>
      </w:pPr>
      <w:r>
        <w:rPr>
          <w:rFonts w:ascii="Aptos Display" w:hAnsi="Aptos Display"/>
          <w:b/>
          <w:color w:val="064B2C"/>
          <w:sz w:val="36"/>
        </w:rPr>
        <w:t>14. Records &amp; Annual Compliance</w:t>
      </w:r>
    </w:p>
    <w:p>
      <w:pPr>
        <w:pStyle w:val="Heading2"/>
        <w:spacing w:before="140" w:after="80"/>
      </w:pPr>
      <w:r>
        <w:rPr>
          <w:rFonts w:ascii="Aptos Display" w:hAnsi="Aptos Display"/>
          <w:b/>
          <w:color w:val="0B6B3A"/>
          <w:sz w:val="28"/>
        </w:rPr>
        <w:t>14.1 Organization File</w:t>
      </w:r>
    </w:p>
    <w:p>
      <w:pPr>
        <w:spacing w:after="100"/>
      </w:pPr>
      <w:r>
        <w:rPr>
          <w:rFonts w:ascii="Aptos" w:hAnsi="Aptos"/>
          <w:b w:val="0"/>
          <w:i w:val="0"/>
          <w:color w:val="1F1F1F"/>
          <w:sz w:val="21"/>
        </w:rPr>
        <w:t>Each recognized organization should maintain a simple annual file, digital or physical, containing:</w:t>
      </w:r>
    </w:p>
    <w:p>
      <w:pPr>
        <w:pStyle w:val="ListBullet"/>
        <w:spacing w:after="50"/>
      </w:pPr>
      <w:r>
        <w:rPr>
          <w:rFonts w:ascii="Aptos" w:hAnsi="Aptos"/>
          <w:b w:val="0"/>
          <w:i w:val="0"/>
          <w:color w:val="1F1F1F"/>
          <w:sz w:val="20"/>
        </w:rPr>
        <w:t>Current charter/recognition approval.</w:t>
      </w:r>
    </w:p>
    <w:p>
      <w:pPr>
        <w:pStyle w:val="ListBullet"/>
        <w:spacing w:after="50"/>
      </w:pPr>
      <w:r>
        <w:rPr>
          <w:rFonts w:ascii="Aptos" w:hAnsi="Aptos"/>
          <w:b w:val="0"/>
          <w:i w:val="0"/>
          <w:color w:val="1F1F1F"/>
          <w:sz w:val="20"/>
        </w:rPr>
        <w:t>Constitution/bylaws.</w:t>
      </w:r>
    </w:p>
    <w:p>
      <w:pPr>
        <w:pStyle w:val="ListBullet"/>
        <w:spacing w:after="50"/>
      </w:pPr>
      <w:r>
        <w:rPr>
          <w:rFonts w:ascii="Aptos" w:hAnsi="Aptos"/>
          <w:b w:val="0"/>
          <w:i w:val="0"/>
          <w:color w:val="1F1F1F"/>
          <w:sz w:val="20"/>
        </w:rPr>
        <w:t>Sponsor and officer list.</w:t>
      </w:r>
    </w:p>
    <w:p>
      <w:pPr>
        <w:pStyle w:val="ListBullet"/>
        <w:spacing w:after="50"/>
      </w:pPr>
      <w:r>
        <w:rPr>
          <w:rFonts w:ascii="Aptos" w:hAnsi="Aptos"/>
          <w:b w:val="0"/>
          <w:i w:val="0"/>
          <w:color w:val="1F1F1F"/>
          <w:sz w:val="20"/>
        </w:rPr>
        <w:t>Meeting calendar and regular location.</w:t>
      </w:r>
    </w:p>
    <w:p>
      <w:pPr>
        <w:pStyle w:val="ListBullet"/>
        <w:spacing w:after="50"/>
      </w:pPr>
      <w:r>
        <w:rPr>
          <w:rFonts w:ascii="Aptos" w:hAnsi="Aptos"/>
          <w:b w:val="0"/>
          <w:i w:val="0"/>
          <w:color w:val="1F1F1F"/>
          <w:sz w:val="20"/>
        </w:rPr>
        <w:t>Important meeting minutes and attendance records where relevant.</w:t>
      </w:r>
    </w:p>
    <w:p>
      <w:pPr>
        <w:pStyle w:val="ListBullet"/>
        <w:spacing w:after="50"/>
      </w:pPr>
      <w:r>
        <w:rPr>
          <w:rFonts w:ascii="Aptos" w:hAnsi="Aptos"/>
          <w:b w:val="0"/>
          <w:i w:val="0"/>
          <w:color w:val="1F1F1F"/>
          <w:sz w:val="20"/>
        </w:rPr>
        <w:t>Event approvals, fundraiser approvals, and financial documentation.</w:t>
      </w:r>
    </w:p>
    <w:p>
      <w:pPr>
        <w:pStyle w:val="ListBullet"/>
        <w:spacing w:after="50"/>
      </w:pPr>
      <w:r>
        <w:rPr>
          <w:rFonts w:ascii="Aptos" w:hAnsi="Aptos"/>
          <w:b w:val="0"/>
          <w:i w:val="0"/>
          <w:color w:val="1F1F1F"/>
          <w:sz w:val="20"/>
        </w:rPr>
        <w:t>Competition/travel records when applicable.</w:t>
      </w:r>
    </w:p>
    <w:p>
      <w:pPr>
        <w:pStyle w:val="ListBullet"/>
        <w:spacing w:after="50"/>
      </w:pPr>
      <w:r>
        <w:rPr>
          <w:rFonts w:ascii="Aptos" w:hAnsi="Aptos"/>
          <w:b w:val="0"/>
          <w:i w:val="0"/>
          <w:color w:val="1F1F1F"/>
          <w:sz w:val="20"/>
        </w:rPr>
        <w:t>Year-end summary and officer transition notes.</w:t>
      </w:r>
    </w:p>
    <w:p>
      <w:pPr>
        <w:pStyle w:val="Heading2"/>
        <w:spacing w:before="140" w:after="80"/>
      </w:pPr>
      <w:r>
        <w:rPr>
          <w:rFonts w:ascii="Aptos Display" w:hAnsi="Aptos Display"/>
          <w:b/>
          <w:color w:val="0B6B3A"/>
          <w:sz w:val="28"/>
        </w:rPr>
        <w:t>14.2 Good Standing</w:t>
      </w:r>
    </w:p>
    <w:p>
      <w:pPr>
        <w:spacing w:after="100"/>
      </w:pPr>
      <w:r>
        <w:rPr>
          <w:rFonts w:ascii="Aptos" w:hAnsi="Aptos"/>
          <w:b w:val="0"/>
          <w:i w:val="0"/>
          <w:color w:val="1F1F1F"/>
          <w:sz w:val="21"/>
        </w:rPr>
        <w:t>An organization remains in good standing when it maintains an active sponsor, follows approval procedures, meets safely, uses school resources appropriately, maintains required records, and resolves compliance concerns promptly.</w:t>
      </w:r>
    </w:p>
    <w:p>
      <w:pPr>
        <w:pStyle w:val="Heading1"/>
        <w:spacing w:before="180" w:after="80"/>
      </w:pPr>
      <w:r>
        <w:rPr>
          <w:rFonts w:ascii="Aptos Display" w:hAnsi="Aptos Display"/>
          <w:b/>
          <w:color w:val="064B2C"/>
          <w:sz w:val="36"/>
        </w:rPr>
        <w:t>15. Suspension, Inactivity &amp; Dissolution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Status</w:t>
            </w:r>
          </w:p>
        </w:tc>
        <w:tc>
          <w:tcPr>
            <w:tcW w:type="dxa" w:w="3600"/>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When Used</w:t>
            </w:r>
          </w:p>
        </w:tc>
        <w:tc>
          <w:tcPr>
            <w:tcW w:type="dxa" w:w="4392"/>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What Happens</w:t>
            </w:r>
          </w:p>
        </w:tc>
      </w:tr>
      <w:tr>
        <w:tc>
          <w:tcPr>
            <w:tcW w:type="dxa" w:w="180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Inactive</w:t>
            </w:r>
          </w:p>
        </w:tc>
        <w:tc>
          <w:tcPr>
            <w:tcW w:type="dxa" w:w="360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No sponsor, insufficient membership, or no meaningful activity.</w:t>
            </w:r>
          </w:p>
        </w:tc>
        <w:tc>
          <w:tcPr>
            <w:tcW w:type="dxa" w:w="439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Organization pauses operations and may reactivate after approval.</w:t>
            </w:r>
          </w:p>
        </w:tc>
      </w:tr>
      <w:tr>
        <w:tc>
          <w:tcPr>
            <w:tcW w:type="dxa" w:w="180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Probation</w:t>
            </w:r>
          </w:p>
        </w:tc>
        <w:tc>
          <w:tcPr>
            <w:tcW w:type="dxa" w:w="360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Repeated paperwork, supervision, conduct, or financial concerns.</w:t>
            </w:r>
          </w:p>
        </w:tc>
        <w:tc>
          <w:tcPr>
            <w:tcW w:type="dxa" w:w="439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Organization may operate under stated conditions and monitoring.</w:t>
            </w:r>
          </w:p>
        </w:tc>
      </w:tr>
      <w:tr>
        <w:tc>
          <w:tcPr>
            <w:tcW w:type="dxa" w:w="180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Suspended</w:t>
            </w:r>
          </w:p>
        </w:tc>
        <w:tc>
          <w:tcPr>
            <w:tcW w:type="dxa" w:w="360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Serious safety, conduct, financial, or policy concern.</w:t>
            </w:r>
          </w:p>
        </w:tc>
        <w:tc>
          <w:tcPr>
            <w:tcW w:type="dxa" w:w="439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Meetings/events stop until administration authorizes resumption.</w:t>
            </w:r>
          </w:p>
        </w:tc>
      </w:tr>
      <w:tr>
        <w:tc>
          <w:tcPr>
            <w:tcW w:type="dxa" w:w="180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Dissolved</w:t>
            </w:r>
          </w:p>
        </w:tc>
        <w:tc>
          <w:tcPr>
            <w:tcW w:type="dxa" w:w="360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Organization no longer serves a viable purpose or repeatedly fails requirements.</w:t>
            </w:r>
          </w:p>
        </w:tc>
        <w:tc>
          <w:tcPr>
            <w:tcW w:type="dxa" w:w="439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Recognition ends; school property/records/funds are resolved under administration.</w:t>
            </w:r>
          </w:p>
        </w:tc>
      </w:tr>
    </w:tbl>
    <w:p>
      <w:pPr>
        <w:spacing w:after="20"/>
      </w:pPr>
    </w:p>
    <w:p>
      <w:pPr>
        <w:spacing w:after="100"/>
      </w:pPr>
      <w:r>
        <w:rPr>
          <w:rFonts w:ascii="Aptos" w:hAnsi="Aptos"/>
          <w:b w:val="0"/>
          <w:i w:val="0"/>
          <w:color w:val="1F1F1F"/>
          <w:sz w:val="21"/>
        </w:rPr>
        <w:t>The principal or designee may impose immediate restrictions when necessary to protect students, staff, school operations, funds, or the reputation and integrity of East Green High School.</w:t>
      </w:r>
    </w:p>
    <w:p>
      <w:pPr>
        <w:pStyle w:val="Heading1"/>
        <w:spacing w:before="180" w:after="80"/>
      </w:pPr>
      <w:r>
        <w:rPr>
          <w:rFonts w:ascii="Aptos Display" w:hAnsi="Aptos Display"/>
          <w:b/>
          <w:color w:val="064B2C"/>
          <w:sz w:val="36"/>
        </w:rPr>
        <w:t>16. Recommended Annual Organization Cycle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Time</w:t>
            </w:r>
          </w:p>
        </w:tc>
        <w:tc>
          <w:tcPr>
            <w:tcW w:type="dxa" w:w="7560"/>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Recommended Action</w:t>
            </w:r>
          </w:p>
        </w:tc>
      </w:tr>
      <w:tr>
        <w:tc>
          <w:tcPr>
            <w:tcW w:type="dxa" w:w="223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Opening / Early Year</w:t>
            </w:r>
          </w:p>
        </w:tc>
        <w:tc>
          <w:tcPr>
            <w:tcW w:type="dxa" w:w="756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Renew recognition; confirm sponsor; update officers; review handbook; recruit members.</w:t>
            </w:r>
          </w:p>
        </w:tc>
      </w:tr>
      <w:tr>
        <w:tc>
          <w:tcPr>
            <w:tcW w:type="dxa" w:w="223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Quarter 1</w:t>
            </w:r>
          </w:p>
        </w:tc>
        <w:tc>
          <w:tcPr>
            <w:tcW w:type="dxa" w:w="756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Set goals; establish meeting routine; submit initial event/fundraiser plans.</w:t>
            </w:r>
          </w:p>
        </w:tc>
      </w:tr>
      <w:tr>
        <w:tc>
          <w:tcPr>
            <w:tcW w:type="dxa" w:w="223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Quarter 2</w:t>
            </w:r>
          </w:p>
        </w:tc>
        <w:tc>
          <w:tcPr>
            <w:tcW w:type="dxa" w:w="756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Review progress; conduct service/project work; maintain records.</w:t>
            </w:r>
          </w:p>
        </w:tc>
      </w:tr>
      <w:tr>
        <w:tc>
          <w:tcPr>
            <w:tcW w:type="dxa" w:w="223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Quarter 3</w:t>
            </w:r>
          </w:p>
        </w:tc>
        <w:tc>
          <w:tcPr>
            <w:tcW w:type="dxa" w:w="756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Prepare spring events/competitions; begin leadership succession planning.</w:t>
            </w:r>
          </w:p>
        </w:tc>
      </w:tr>
      <w:tr>
        <w:tc>
          <w:tcPr>
            <w:tcW w:type="dxa" w:w="223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Quarter 4</w:t>
            </w:r>
          </w:p>
        </w:tc>
        <w:tc>
          <w:tcPr>
            <w:tcW w:type="dxa" w:w="756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Hold elections; complete officer transition; submit year-end summary; inventory property.</w:t>
            </w:r>
          </w:p>
        </w:tc>
      </w:tr>
    </w:tbl>
    <w:p>
      <w:pPr>
        <w:spacing w:after="20"/>
      </w:pPr>
    </w:p>
    <w:p>
      <w:r>
        <w:br w:type="page"/>
      </w:r>
    </w:p>
    <w:p>
      <w:pPr>
        <w:pStyle w:val="Heading1"/>
        <w:spacing w:before="180" w:after="80"/>
      </w:pPr>
      <w:r>
        <w:rPr>
          <w:rFonts w:ascii="Aptos Display" w:hAnsi="Aptos Display"/>
          <w:b/>
          <w:color w:val="064B2C"/>
          <w:sz w:val="36"/>
        </w:rPr>
        <w:t>17. Forms &amp; Templates</w:t>
      </w:r>
    </w:p>
    <w:p>
      <w:pPr>
        <w:pStyle w:val="Heading2"/>
        <w:spacing w:before="140" w:after="80"/>
      </w:pPr>
      <w:r>
        <w:rPr>
          <w:rFonts w:ascii="Aptos Display" w:hAnsi="Aptos Display"/>
          <w:b/>
          <w:color w:val="0B6B3A"/>
          <w:sz w:val="28"/>
        </w:rPr>
        <w:t>17.1 Student Organization Charter Application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16"/>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Field</w:t>
            </w:r>
          </w:p>
        </w:tc>
        <w:tc>
          <w:tcPr>
            <w:tcW w:type="dxa" w:w="5976"/>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Response</w:t>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Proposed Organization Name</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Purpose / Mission</w:t>
            </w:r>
          </w:p>
        </w:tc>
        <w:tc>
          <w:tcPr>
            <w:tcW w:type="dxa" w:w="59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Proposed Sponsor</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Founding Student Leaders</w:t>
            </w:r>
          </w:p>
        </w:tc>
        <w:tc>
          <w:tcPr>
            <w:tcW w:type="dxa" w:w="59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Expected Membership / Audience</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Regular Meeting Day/Block</w:t>
            </w:r>
          </w:p>
        </w:tc>
        <w:tc>
          <w:tcPr>
            <w:tcW w:type="dxa" w:w="59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Requested Location</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Expected Fundraising / Dues</w:t>
            </w:r>
          </w:p>
        </w:tc>
        <w:tc>
          <w:tcPr>
            <w:tcW w:type="dxa" w:w="59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Travel / Competition / Outside Affiliation</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Equipment / Technology Needs</w:t>
            </w:r>
          </w:p>
        </w:tc>
        <w:tc>
          <w:tcPr>
            <w:tcW w:type="dxa" w:w="59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Administrative Conditions / Decision</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bl>
    <w:p>
      <w:pPr>
        <w:spacing w:after="20"/>
      </w:pPr>
    </w:p>
    <w:p>
      <w:pPr>
        <w:pStyle w:val="Heading2"/>
        <w:spacing w:before="140" w:after="80"/>
      </w:pPr>
      <w:r>
        <w:rPr>
          <w:rFonts w:ascii="Aptos Display" w:hAnsi="Aptos Display"/>
          <w:b/>
          <w:color w:val="0B6B3A"/>
          <w:sz w:val="28"/>
        </w:rPr>
        <w:t>17.2 Standard Meeting Minutes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16"/>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Item</w:t>
            </w:r>
          </w:p>
        </w:tc>
        <w:tc>
          <w:tcPr>
            <w:tcW w:type="dxa" w:w="5976"/>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Record</w:t>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Organization / Date / Location</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Sponsor Present</w:t>
            </w:r>
          </w:p>
        </w:tc>
        <w:tc>
          <w:tcPr>
            <w:tcW w:type="dxa" w:w="59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Student Presiding</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Attendance / Quorum if used</w:t>
            </w:r>
          </w:p>
        </w:tc>
        <w:tc>
          <w:tcPr>
            <w:tcW w:type="dxa" w:w="59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Old Business</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New Business</w:t>
            </w:r>
          </w:p>
        </w:tc>
        <w:tc>
          <w:tcPr>
            <w:tcW w:type="dxa" w:w="59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Votes / Decisions</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Assignments / Owners</w:t>
            </w:r>
          </w:p>
        </w:tc>
        <w:tc>
          <w:tcPr>
            <w:tcW w:type="dxa" w:w="59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Approvals Needed</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Next Meeting</w:t>
            </w:r>
          </w:p>
        </w:tc>
        <w:tc>
          <w:tcPr>
            <w:tcW w:type="dxa" w:w="59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bl>
    <w:p>
      <w:pPr>
        <w:spacing w:after="20"/>
      </w:pPr>
    </w:p>
    <w:p>
      <w:r>
        <w:br w:type="page"/>
      </w:r>
    </w:p>
    <w:p>
      <w:pPr>
        <w:pStyle w:val="Heading2"/>
        <w:spacing w:before="140" w:after="80"/>
      </w:pPr>
      <w:r>
        <w:rPr>
          <w:rFonts w:ascii="Aptos Display" w:hAnsi="Aptos Display"/>
          <w:b/>
          <w:color w:val="0B6B3A"/>
          <w:sz w:val="28"/>
        </w:rPr>
        <w:t>17.3 Officer Election Record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Office</w:t>
            </w:r>
          </w:p>
        </w:tc>
        <w:tc>
          <w:tcPr>
            <w:tcW w:type="dxa" w:w="3168"/>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Candidates</w:t>
            </w:r>
          </w:p>
        </w:tc>
        <w:tc>
          <w:tcPr>
            <w:tcW w:type="dxa" w:w="2448"/>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Winner</w:t>
            </w:r>
          </w:p>
        </w:tc>
        <w:tc>
          <w:tcPr>
            <w:tcW w:type="dxa" w:w="1800"/>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Term</w:t>
            </w:r>
          </w:p>
        </w:tc>
      </w:tr>
      <w:tr>
        <w:tc>
          <w:tcPr>
            <w:tcW w:type="dxa" w:w="223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President / Chair</w:t>
            </w:r>
          </w:p>
        </w:tc>
        <w:tc>
          <w:tcPr>
            <w:tcW w:type="dxa" w:w="316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c>
          <w:tcPr>
            <w:tcW w:type="dxa" w:w="244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c>
          <w:tcPr>
            <w:tcW w:type="dxa" w:w="180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223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Vice President / Vice Chair</w:t>
            </w:r>
          </w:p>
        </w:tc>
        <w:tc>
          <w:tcPr>
            <w:tcW w:type="dxa" w:w="316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c>
          <w:tcPr>
            <w:tcW w:type="dxa" w:w="244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c>
          <w:tcPr>
            <w:tcW w:type="dxa" w:w="180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223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Secretary</w:t>
            </w:r>
          </w:p>
        </w:tc>
        <w:tc>
          <w:tcPr>
            <w:tcW w:type="dxa" w:w="316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c>
          <w:tcPr>
            <w:tcW w:type="dxa" w:w="244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c>
          <w:tcPr>
            <w:tcW w:type="dxa" w:w="180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2232"/>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Treasurer</w:t>
            </w:r>
          </w:p>
        </w:tc>
        <w:tc>
          <w:tcPr>
            <w:tcW w:type="dxa" w:w="316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c>
          <w:tcPr>
            <w:tcW w:type="dxa" w:w="244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c>
          <w:tcPr>
            <w:tcW w:type="dxa" w:w="1800"/>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2232"/>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Other</w:t>
            </w:r>
          </w:p>
        </w:tc>
        <w:tc>
          <w:tcPr>
            <w:tcW w:type="dxa" w:w="316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c>
          <w:tcPr>
            <w:tcW w:type="dxa" w:w="244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c>
          <w:tcPr>
            <w:tcW w:type="dxa" w:w="1800"/>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bl>
    <w:p>
      <w:pPr>
        <w:spacing w:after="20"/>
      </w:pPr>
    </w:p>
    <w:p>
      <w:pPr>
        <w:spacing w:after="100"/>
      </w:pPr>
      <w:r>
        <w:rPr>
          <w:rFonts w:ascii="Aptos" w:hAnsi="Aptos"/>
          <w:b w:val="0"/>
          <w:i w:val="0"/>
          <w:color w:val="1F1F1F"/>
          <w:sz w:val="21"/>
        </w:rPr>
        <w:t>Sponsor Certification: I supervised the election process and confirm the results above were recorded accurately.</w:t>
      </w:r>
    </w:p>
    <w:p>
      <w:pPr>
        <w:spacing w:after="100"/>
      </w:pPr>
      <w:r>
        <w:rPr>
          <w:rFonts w:ascii="Aptos" w:hAnsi="Aptos"/>
          <w:b w:val="0"/>
          <w:i w:val="0"/>
          <w:color w:val="1F1F1F"/>
          <w:sz w:val="21"/>
        </w:rPr>
        <w:t>Sponsor Signature: ____________________________________    Date: ____________________</w:t>
      </w:r>
    </w:p>
    <w:p>
      <w:pPr>
        <w:pStyle w:val="Heading2"/>
        <w:spacing w:before="140" w:after="80"/>
      </w:pPr>
      <w:r>
        <w:rPr>
          <w:rFonts w:ascii="Aptos Display" w:hAnsi="Aptos Display"/>
          <w:b/>
          <w:color w:val="0B6B3A"/>
          <w:sz w:val="28"/>
        </w:rPr>
        <w:t>17.4 Year-End Organization Report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16"/>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Prompt</w:t>
            </w:r>
          </w:p>
        </w:tc>
        <w:tc>
          <w:tcPr>
            <w:tcW w:type="dxa" w:w="5976"/>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Response</w:t>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Major activities completed</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Service / school contributions</w:t>
            </w:r>
          </w:p>
        </w:tc>
        <w:tc>
          <w:tcPr>
            <w:tcW w:type="dxa" w:w="59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Events / competitions</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Fundraising / financial activity</w:t>
            </w:r>
          </w:p>
        </w:tc>
        <w:tc>
          <w:tcPr>
            <w:tcW w:type="dxa" w:w="59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Membership highlights</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Challenges / recommendations</w:t>
            </w:r>
          </w:p>
        </w:tc>
        <w:tc>
          <w:tcPr>
            <w:tcW w:type="dxa" w:w="59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Outgoing officers</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Incoming officers</w:t>
            </w:r>
          </w:p>
        </w:tc>
        <w:tc>
          <w:tcPr>
            <w:tcW w:type="dxa" w:w="59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Property / inventory notes</w:t>
            </w:r>
          </w:p>
        </w:tc>
        <w:tc>
          <w:tcPr>
            <w:tcW w:type="dxa" w:w="5976"/>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r>
        <w:tc>
          <w:tcPr>
            <w:tcW w:type="dxa" w:w="381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Plans for next year</w:t>
            </w:r>
          </w:p>
        </w:tc>
        <w:tc>
          <w:tcPr>
            <w:tcW w:type="dxa" w:w="5976"/>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r>
          </w:p>
        </w:tc>
      </w:tr>
    </w:tbl>
    <w:p>
      <w:pPr>
        <w:spacing w:after="20"/>
      </w:pPr>
    </w:p>
    <w:p>
      <w:pPr>
        <w:pStyle w:val="Heading1"/>
        <w:spacing w:before="180" w:after="80"/>
      </w:pPr>
      <w:r>
        <w:rPr>
          <w:rFonts w:ascii="Aptos Display" w:hAnsi="Aptos Display"/>
          <w:b/>
          <w:color w:val="064B2C"/>
          <w:sz w:val="36"/>
        </w:rPr>
        <w:t>18. Quick Approval Guide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528"/>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I Want To…</w:t>
            </w:r>
          </w:p>
        </w:tc>
        <w:tc>
          <w:tcPr>
            <w:tcW w:type="dxa" w:w="3168"/>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Start With…</w:t>
            </w:r>
          </w:p>
        </w:tc>
        <w:tc>
          <w:tcPr>
            <w:tcW w:type="dxa" w:w="3384"/>
            <w:shd w:fill="064B2C"/>
            <w:tcBorders>
              <w:top w:val="single" w:sz="6" w:color="FFFFFF"/>
              <w:left w:val="single" w:sz="6" w:color="FFFFFF"/>
              <w:bottom w:val="single" w:sz="6" w:color="FFFFFF"/>
              <w:right w:val="single" w:sz="6" w:color="FFFFFF"/>
              <w:insideH w:val="single" w:sz="6" w:color="FFFFFF"/>
              <w:insideV w:val="single" w:sz="6" w:color="FFFFFF"/>
            </w:tcBorders>
            <w:tcMar>
              <w:top w:w="100" w:type="dxa"/>
              <w:start w:w="100" w:type="dxa"/>
              <w:bottom w:w="100" w:type="dxa"/>
              <w:end w:w="100" w:type="dxa"/>
            </w:tcMar>
          </w:tcPr>
          <w:p>
            <w:pPr>
              <w:jc w:val="center"/>
            </w:pPr>
            <w:r>
              <w:rPr>
                <w:rFonts w:ascii="Aptos" w:hAnsi="Aptos"/>
                <w:b/>
                <w:i w:val="0"/>
                <w:color w:val="FFFFFF"/>
                <w:sz w:val="18"/>
              </w:rPr>
              <w:t>Likely Approval</w:t>
            </w:r>
          </w:p>
        </w:tc>
      </w:tr>
      <w:tr>
        <w:tc>
          <w:tcPr>
            <w:tcW w:type="dxa" w:w="352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Start a new club</w:t>
            </w:r>
          </w:p>
        </w:tc>
        <w:tc>
          <w:tcPr>
            <w:tcW w:type="dxa" w:w="316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Faculty/staff sponsor</w:t>
            </w:r>
          </w:p>
        </w:tc>
        <w:tc>
          <w:tcPr>
            <w:tcW w:type="dxa" w:w="3384"/>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AP Operations &amp; Student Services → Principal</w:t>
            </w:r>
          </w:p>
        </w:tc>
      </w:tr>
      <w:tr>
        <w:tc>
          <w:tcPr>
            <w:tcW w:type="dxa" w:w="352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Schedule a normal G3 meeting</w:t>
            </w:r>
          </w:p>
        </w:tc>
        <w:tc>
          <w:tcPr>
            <w:tcW w:type="dxa" w:w="316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Sponsor</w:t>
            </w:r>
          </w:p>
        </w:tc>
        <w:tc>
          <w:tcPr>
            <w:tcW w:type="dxa" w:w="3384"/>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Green Day/activity schedule process</w:t>
            </w:r>
          </w:p>
        </w:tc>
      </w:tr>
      <w:tr>
        <w:tc>
          <w:tcPr>
            <w:tcW w:type="dxa" w:w="352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Hold an event</w:t>
            </w:r>
          </w:p>
        </w:tc>
        <w:tc>
          <w:tcPr>
            <w:tcW w:type="dxa" w:w="316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Sponsor</w:t>
            </w:r>
          </w:p>
        </w:tc>
        <w:tc>
          <w:tcPr>
            <w:tcW w:type="dxa" w:w="3384"/>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AP Operations &amp; Student Services; principal for major events</w:t>
            </w:r>
          </w:p>
        </w:tc>
      </w:tr>
      <w:tr>
        <w:tc>
          <w:tcPr>
            <w:tcW w:type="dxa" w:w="352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Raise money</w:t>
            </w:r>
          </w:p>
        </w:tc>
        <w:tc>
          <w:tcPr>
            <w:tcW w:type="dxa" w:w="316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Sponsor</w:t>
            </w:r>
          </w:p>
        </w:tc>
        <w:tc>
          <w:tcPr>
            <w:tcW w:type="dxa" w:w="3384"/>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Administrative fundraising/purchasing process</w:t>
            </w:r>
          </w:p>
        </w:tc>
      </w:tr>
      <w:tr>
        <w:tc>
          <w:tcPr>
            <w:tcW w:type="dxa" w:w="352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Use school logo publicly</w:t>
            </w:r>
          </w:p>
        </w:tc>
        <w:tc>
          <w:tcPr>
            <w:tcW w:type="dxa" w:w="316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Sponsor</w:t>
            </w:r>
          </w:p>
        </w:tc>
        <w:tc>
          <w:tcPr>
            <w:tcW w:type="dxa" w:w="3384"/>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School Communications Guide / administrative review as needed</w:t>
            </w:r>
          </w:p>
        </w:tc>
      </w:tr>
      <w:tr>
        <w:tc>
          <w:tcPr>
            <w:tcW w:type="dxa" w:w="352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Travel or compete</w:t>
            </w:r>
          </w:p>
        </w:tc>
        <w:tc>
          <w:tcPr>
            <w:tcW w:type="dxa" w:w="316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Sponsor</w:t>
            </w:r>
          </w:p>
        </w:tc>
        <w:tc>
          <w:tcPr>
            <w:tcW w:type="dxa" w:w="3384"/>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Administration + permissions/transportation</w:t>
            </w:r>
          </w:p>
        </w:tc>
      </w:tr>
      <w:tr>
        <w:tc>
          <w:tcPr>
            <w:tcW w:type="dxa" w:w="352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Invite a guest speaker</w:t>
            </w:r>
          </w:p>
        </w:tc>
        <w:tc>
          <w:tcPr>
            <w:tcW w:type="dxa" w:w="3168"/>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Sponsor</w:t>
            </w:r>
          </w:p>
        </w:tc>
        <w:tc>
          <w:tcPr>
            <w:tcW w:type="dxa" w:w="3384"/>
            <w:shd w:fill="F7F9F7"/>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Administration / visitor procedures</w:t>
            </w:r>
          </w:p>
        </w:tc>
      </w:tr>
      <w:tr>
        <w:tc>
          <w:tcPr>
            <w:tcW w:type="dxa" w:w="352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Create official Discord/Roblox space</w:t>
            </w:r>
          </w:p>
        </w:tc>
        <w:tc>
          <w:tcPr>
            <w:tcW w:type="dxa" w:w="3168"/>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Sponsor</w:t>
            </w:r>
          </w:p>
        </w:tc>
        <w:tc>
          <w:tcPr>
            <w:tcW w:type="dxa" w:w="3384"/>
            <w:shd w:fill="FFFFFF"/>
            <w:tcBorders>
              <w:top w:val="single" w:sz="5" w:color="D7E2DA"/>
              <w:left w:val="single" w:sz="5" w:color="D7E2DA"/>
              <w:bottom w:val="single" w:sz="5" w:color="D7E2DA"/>
              <w:right w:val="single" w:sz="5" w:color="D7E2DA"/>
              <w:insideH w:val="single" w:sz="5" w:color="D7E2DA"/>
              <w:insideV w:val="single" w:sz="5" w:color="D7E2DA"/>
            </w:tcBorders>
            <w:tcMar>
              <w:top w:w="90" w:type="dxa"/>
              <w:start w:w="95" w:type="dxa"/>
              <w:bottom w:w="90" w:type="dxa"/>
              <w:end w:w="95" w:type="dxa"/>
            </w:tcMar>
            <w:vAlign w:val="top"/>
          </w:tcPr>
          <w:p>
            <w:r>
              <w:rPr>
                <w:rFonts w:ascii="Aptos" w:hAnsi="Aptos"/>
                <w:b w:val="0"/>
                <w:i w:val="0"/>
                <w:color w:val="1F1F1F"/>
                <w:sz w:val="18"/>
              </w:rPr>
              <w:t>Communications + supervision approval</w:t>
            </w:r>
          </w:p>
        </w:tc>
      </w:tr>
    </w:tbl>
    <w:p>
      <w:pPr>
        <w:spacing w:after="20"/>
      </w:pPr>
    </w:p>
    <w:p>
      <w:r>
        <w:br w:type="page"/>
      </w:r>
    </w:p>
    <w:p>
      <w:pPr>
        <w:pStyle w:val="Heading1"/>
        <w:spacing w:before="180" w:after="80"/>
      </w:pPr>
      <w:r>
        <w:rPr>
          <w:rFonts w:ascii="Aptos Display" w:hAnsi="Aptos Display"/>
          <w:b/>
          <w:color w:val="064B2C"/>
          <w:sz w:val="36"/>
        </w:rPr>
        <w:t>19. Student Leader &amp; Sponsor Acknowledgment</w:t>
      </w:r>
    </w:p>
    <w:p>
      <w:pPr>
        <w:spacing w:after="100"/>
      </w:pPr>
      <w:r>
        <w:rPr>
          <w:rFonts w:ascii="Aptos" w:hAnsi="Aptos"/>
          <w:b w:val="0"/>
          <w:i w:val="0"/>
          <w:color w:val="1F1F1F"/>
          <w:sz w:val="21"/>
        </w:rPr>
        <w:t>By signing below, the student organization’s officers and sponsor acknowledge that they have reviewed the East Green High School Student Organizations &amp; Clubs Handbook and agree to operate the organization within school policies, approved procedures, and sponsor/administrative direction.</w:t>
      </w:r>
    </w:p>
    <w:p>
      <w:pPr>
        <w:spacing w:after="100"/>
      </w:pPr>
      <w:r>
        <w:rPr>
          <w:rFonts w:ascii="Aptos" w:hAnsi="Aptos"/>
          <w:b w:val="0"/>
          <w:i w:val="0"/>
          <w:color w:val="1F1F1F"/>
          <w:sz w:val="21"/>
        </w:rPr>
        <w:t>Organization: _______________________________________________________________________</w:t>
      </w:r>
    </w:p>
    <w:p>
      <w:pPr>
        <w:spacing w:after="100"/>
      </w:pPr>
      <w:r>
        <w:rPr>
          <w:rFonts w:ascii="Aptos" w:hAnsi="Aptos"/>
          <w:b w:val="0"/>
          <w:i w:val="0"/>
          <w:color w:val="1F1F1F"/>
          <w:sz w:val="21"/>
        </w:rPr>
        <w:t>Sponsor: ____________________________________________   Date: __________________________</w:t>
      </w:r>
    </w:p>
    <w:p>
      <w:pPr>
        <w:spacing w:after="100"/>
      </w:pPr>
      <w:r>
        <w:rPr>
          <w:rFonts w:ascii="Aptos" w:hAnsi="Aptos"/>
          <w:b w:val="0"/>
          <w:i w:val="0"/>
          <w:color w:val="1F1F1F"/>
          <w:sz w:val="21"/>
        </w:rPr>
        <w:t>President/Chair: _____________________________________   Date: __________________________</w:t>
      </w:r>
    </w:p>
    <w:p>
      <w:pPr>
        <w:spacing w:after="100"/>
      </w:pPr>
      <w:r>
        <w:rPr>
          <w:rFonts w:ascii="Aptos" w:hAnsi="Aptos"/>
          <w:b w:val="0"/>
          <w:i w:val="0"/>
          <w:color w:val="1F1F1F"/>
          <w:sz w:val="21"/>
        </w:rPr>
        <w:t>Vice President/Officer: _______________________________   Date: __________________________</w:t>
      </w:r>
    </w:p>
    <w:p>
      <w:pPr>
        <w:spacing w:after="100"/>
      </w:pPr>
      <w:r>
        <w:rPr>
          <w:rFonts w:ascii="Aptos" w:hAnsi="Aptos"/>
          <w:b w:val="0"/>
          <w:i w:val="0"/>
          <w:color w:val="1F1F1F"/>
          <w:sz w:val="21"/>
        </w:rPr>
        <w:t>Secretary/Officer: ____________________________________   Date: __________________________</w:t>
      </w:r>
    </w:p>
    <w:p>
      <w:pPr>
        <w:spacing w:after="100"/>
      </w:pPr>
      <w:r>
        <w:rPr>
          <w:rFonts w:ascii="Aptos" w:hAnsi="Aptos"/>
          <w:b w:val="0"/>
          <w:i w:val="0"/>
          <w:color w:val="1F1F1F"/>
          <w:sz w:val="21"/>
        </w:rPr>
        <w:t>Administrative Approval: ______________________________   Date: __________________________</w:t>
      </w:r>
    </w:p>
    <w:tbl>
      <w:tblPr>
        <w:tblW w:type="auto" w:w="0"/>
        <w:jc w:val="center"/>
        <w:tblLayout w:type="fixed"/>
        <w:tblLook w:firstColumn="1" w:firstRow="1" w:lastColumn="0" w:lastRow="0" w:noHBand="0" w:noVBand="1" w:val="04A0"/>
      </w:tblPr>
      <w:tblGrid>
        <w:gridCol w:w="9792"/>
      </w:tblGrid>
      <w:tr>
        <w:trPr>
          <w:cantSplit/>
        </w:trPr>
        <w:tc>
          <w:tcPr>
            <w:tcW w:type="dxa" w:w="10166"/>
            <w:shd w:fill="EAF3EC"/>
            <w:tcBorders>
              <w:top w:val="single" w:sz="10" w:color="B7CDBD"/>
              <w:left w:val="single" w:sz="10" w:color="B7CDBD"/>
              <w:bottom w:val="single" w:sz="10" w:color="B7CDBD"/>
              <w:right w:val="single" w:sz="10" w:color="B7CDBD"/>
              <w:insideH w:val="single" w:sz="10" w:color="B7CDBD"/>
              <w:insideV w:val="single" w:sz="10" w:color="B7CDBD"/>
            </w:tcBorders>
            <w:tcMar>
              <w:top w:w="160" w:type="dxa"/>
              <w:start w:w="180" w:type="dxa"/>
              <w:bottom w:w="160" w:type="dxa"/>
              <w:end w:w="180" w:type="dxa"/>
            </w:tcMar>
          </w:tcPr>
          <w:p>
            <w:pPr>
              <w:spacing w:after="80"/>
            </w:pPr>
            <w:r>
              <w:rPr>
                <w:rFonts w:ascii="Aptos" w:hAnsi="Aptos"/>
                <w:b/>
                <w:i w:val="0"/>
                <w:color w:val="064B2C"/>
                <w:sz w:val="21"/>
              </w:rPr>
              <w:t>ANNUAL RENEWAL</w:t>
            </w:r>
          </w:p>
          <w:p>
            <w:pPr>
              <w:spacing w:after="0"/>
            </w:pPr>
            <w:r>
              <w:rPr>
                <w:rFonts w:ascii="Aptos" w:hAnsi="Aptos"/>
                <w:b w:val="0"/>
                <w:i w:val="0"/>
                <w:color w:val="1F1F1F"/>
                <w:sz w:val="20"/>
              </w:rPr>
              <w:t>This acknowledgment should be renewed each school year or whenever the organization substantially changes its purpose, sponsor, operating structure, or outside affiliation.</w:t>
            </w:r>
          </w:p>
        </w:tc>
      </w:tr>
    </w:tbl>
    <w:p>
      <w:pPr>
        <w:spacing w:after="20"/>
      </w:pP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i w:val="0"/>
        <w:color w:val="064B2C"/>
        <w:sz w:val="17"/>
      </w:rPr>
      <w:t>EAST GREEN HIGH SCHOOL  •  STUDENT ORGANIZATIONS &amp; CLUBS  •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64B2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F63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 Green High School Student Organizations &amp; Clubs Handbook 2026-2027</dc:title>
  <dc:subject>Student organization operations, recognition, sponsorship, events, finances, communication, safety, and forms.</dc:subject>
  <dc:creator>East Green High School</dc:creator>
  <cp:keywords/>
  <dc:description>generated by python-docx</dc:description>
  <cp:lastModifiedBy/>
  <cp:revision>1</cp:revision>
  <dcterms:created xsi:type="dcterms:W3CDTF">2013-12-23T23:15:00Z</dcterms:created>
  <dcterms:modified xsi:type="dcterms:W3CDTF">2013-12-23T23:15:00Z</dcterms:modified>
  <cp:category/>
</cp:coreProperties>
</file>