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66"/>
      </w:tblGrid>
      <w:tr>
        <w:tc>
          <w:tcPr>
            <w:tcW w:type="dxa" w:w="9936"/>
            <w:shd w:fill="0B4B33"/>
            <w:tcMar>
              <w:top w:w="240" w:type="dxa"/>
              <w:start w:w="200" w:type="dxa"/>
              <w:bottom w:w="240" w:type="dxa"/>
              <w:end w:w="200" w:type="dxa"/>
            </w:tcMar>
          </w:tcPr>
          <w:p>
            <w:pPr>
              <w:jc w:val="center"/>
            </w:pPr>
            <w:r>
              <w:rPr>
                <w:b/>
                <w:color w:val="FFFFFF"/>
                <w:sz w:val="88"/>
              </w:rPr>
              <w:t>EG</w:t>
            </w:r>
          </w:p>
          <w:p>
            <w:pPr>
              <w:jc w:val="center"/>
            </w:pPr>
            <w:r>
              <w:rPr>
                <w:b/>
                <w:color w:val="FFFFFF"/>
                <w:sz w:val="34"/>
              </w:rPr>
              <w:t>EAST GREEN HIGH SCHOOL</w:t>
            </w:r>
          </w:p>
        </w:tc>
      </w:tr>
    </w:tbl>
    <w:p/>
    <w:p>
      <w:pPr>
        <w:pStyle w:val="Title"/>
        <w:jc w:val="center"/>
      </w:pPr>
      <w:r>
        <w:t>SUBSTITUTE TEACHER HANDBOOK</w:t>
      </w:r>
    </w:p>
    <w:p>
      <w:pPr>
        <w:jc w:val="center"/>
      </w:pPr>
      <w:r>
        <w:rPr>
          <w:b/>
          <w:color w:val="2D6A4F"/>
          <w:sz w:val="26"/>
        </w:rPr>
        <w:t>Daily Procedures, Classroom Expectations &amp; Safety Guide</w:t>
      </w:r>
    </w:p>
    <w:p>
      <w:pPr>
        <w:jc w:val="center"/>
      </w:pPr>
      <w:r>
        <w:rPr>
          <w:b/>
          <w:color w:val="5C6861"/>
          <w:sz w:val="18"/>
        </w:rPr>
        <w:t>2026-2027 EDITION</w:t>
      </w:r>
    </w:p>
    <w:p/>
    <w:tbl>
      <w:tblPr>
        <w:tblW w:type="auto" w:w="0"/>
        <w:jc w:val="center"/>
        <w:tblLayout w:type="fixed"/>
        <w:tblLook w:firstColumn="1" w:firstRow="1" w:lastColumn="0" w:lastRow="0" w:noHBand="0" w:noVBand="1" w:val="04A0"/>
      </w:tblPr>
      <w:tblGrid>
        <w:gridCol w:w="10166"/>
      </w:tblGrid>
      <w:tr>
        <w:tc>
          <w:tcPr>
            <w:tcW w:type="dxa" w:w="9360"/>
            <w:shd w:fill="EAF3EC"/>
            <w:tcBorders>
              <w:top w:val="single" w:sz="10" w:color="6AA84F"/>
              <w:bottom w:val="single" w:sz="10" w:color="6AA84F"/>
              <w:left w:val="single" w:sz="10" w:color="6AA84F"/>
              <w:right w:val="single" w:sz="10" w:color="6AA84F"/>
            </w:tcBorders>
            <w:tcMar>
              <w:top w:w="150" w:type="dxa"/>
              <w:start w:w="180" w:type="dxa"/>
              <w:bottom w:w="150" w:type="dxa"/>
              <w:end w:w="180" w:type="dxa"/>
            </w:tcMar>
          </w:tcPr>
          <w:p>
            <w:pPr>
              <w:jc w:val="center"/>
            </w:pPr>
            <w:r>
              <w:rPr>
                <w:b/>
                <w:color w:val="0B4B33"/>
                <w:sz w:val="22"/>
              </w:rPr>
              <w:t>LEARN. LEAD. SUCCEED.</w:t>
            </w:r>
          </w:p>
          <w:p>
            <w:pPr>
              <w:pStyle w:val="SmallNote"/>
              <w:jc w:val="center"/>
            </w:pPr>
            <w:r>
              <w:t>Designed for short-term classroom coverage within East Green High School's A/B block and Green Day program.</w:t>
            </w:r>
          </w:p>
        </w:tc>
      </w:tr>
    </w:tbl>
    <w:p>
      <w:r>
        <w:br w:type="page"/>
      </w:r>
    </w:p>
    <w:tbl>
      <w:tblPr>
        <w:tblW w:type="auto" w:w="0"/>
        <w:jc w:val="center"/>
        <w:tblLook w:firstColumn="1" w:firstRow="1" w:lastColumn="0" w:lastRow="0" w:noHBand="0" w:noVBand="1" w:val="04A0"/>
      </w:tblPr>
      <w:tblGrid>
        <w:gridCol w:w="10166"/>
      </w:tblGrid>
      <w:tr>
        <w:tc>
          <w:tcPr>
            <w:tcW w:type="dxa" w:w="10166"/>
            <w:shd w:fill="0B4B33"/>
            <w:tcMar>
              <w:top w:w="85" w:type="dxa"/>
              <w:start w:w="140" w:type="dxa"/>
              <w:bottom w:w="85" w:type="dxa"/>
              <w:end w:w="140" w:type="dxa"/>
            </w:tcMar>
          </w:tcPr>
          <w:p>
            <w:r>
              <w:rPr>
                <w:b/>
                <w:color w:val="FFFFFF"/>
                <w:sz w:val="26"/>
              </w:rPr>
              <w:t>WELCOME TO EAST GREEN</w:t>
            </w:r>
          </w:p>
          <w:p>
            <w:pPr>
              <w:pStyle w:val="SmallNote"/>
            </w:pPr>
            <w:r>
              <w:rPr>
                <w:color w:val="DDE9E1"/>
              </w:rPr>
              <w:t>Substitutes provide continuity, safety, and structure. Follow the assigned teacher plan, school procedures, and administrative directions exactly.</w:t>
            </w:r>
          </w:p>
        </w:tc>
      </w:tr>
    </w:tbl>
    <w:p/>
    <w:p>
      <w:r>
        <w:t>A substitute teacher is responsible for the classroom from the moment the assignment begins until students are properly released or supervision is transferred. The goal is not to recreate the absent teacher's personality; it is to preserve instruction, routines, safety, and accurate documentation.</w:t>
      </w:r>
    </w:p>
    <w:tbl>
      <w:tblPr>
        <w:tblW w:type="auto" w:w="0"/>
        <w:jc w:val="center"/>
        <w:tblLook w:firstColumn="1" w:firstRow="1" w:lastColumn="0" w:lastRow="0" w:noHBand="0" w:noVBand="1" w:val="04A0"/>
      </w:tblPr>
      <w:tblGrid>
        <w:gridCol w:w="10166"/>
      </w:tblGrid>
      <w:tr>
        <w:tc>
          <w:tcPr>
            <w:tcW w:type="dxa" w:w="10166"/>
            <w:shd w:fill="EAF3EC"/>
            <w:tcBorders>
              <w:left w:val="single" w:sz="18" w:color="6AA84F"/>
            </w:tcBorders>
            <w:tcMar>
              <w:top w:w="90" w:type="dxa"/>
              <w:start w:w="140" w:type="dxa"/>
              <w:bottom w:w="90" w:type="dxa"/>
              <w:end w:w="120" w:type="dxa"/>
            </w:tcMar>
          </w:tcPr>
          <w:p>
            <w:r>
              <w:rPr>
                <w:b/>
                <w:color w:val="0B4B33"/>
              </w:rPr>
              <w:t>STANDARD REPORTING EXPECTATION</w:t>
            </w:r>
          </w:p>
          <w:p>
            <w:pPr>
              <w:pStyle w:val="SmallNote"/>
            </w:pPr>
            <w:r>
              <w:t>Unless the assignment notice specifies otherwise, substitutes should report to the main office no later than 5:10 PM, before doors open at 5:20 PM. Sign in, receive keys/materials, confirm the day type (A, B, or Green Day), and review emergency information before students arrive.</w:t>
            </w:r>
          </w:p>
        </w:tc>
      </w:tr>
    </w:tbl>
    <w:p>
      <w:pPr>
        <w:pStyle w:val="Heading1"/>
      </w:pPr>
      <w:r>
        <w:t>1. Daily Bell Schedule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6"/>
              </w:rPr>
              <w:t>Time</w:t>
            </w:r>
          </w:p>
        </w:tc>
        <w:tc>
          <w:tcPr>
            <w:tcW w:type="dxa" w:w="763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6"/>
              </w:rPr>
              <w:t>Activity</w:t>
            </w:r>
          </w:p>
        </w:tc>
      </w:tr>
      <w:tr>
        <w:trPr>
          <w:cantSplit/>
        </w:trPr>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5:20 PM</w:t>
            </w:r>
          </w:p>
        </w:tc>
        <w:tc>
          <w:tcPr>
            <w:tcW w:type="dxa" w:w="763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Doors Open</w:t>
            </w:r>
          </w:p>
        </w:tc>
      </w:tr>
      <w:tr>
        <w:trPr>
          <w:cantSplit/>
        </w:trPr>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5:28 PM</w:t>
            </w:r>
          </w:p>
        </w:tc>
        <w:tc>
          <w:tcPr>
            <w:tcW w:type="dxa" w:w="763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First Bell / Report to 1st Period</w:t>
            </w:r>
          </w:p>
        </w:tc>
      </w:tr>
      <w:tr>
        <w:trPr>
          <w:cantSplit/>
        </w:trPr>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5:30-6:00 PM</w:t>
            </w:r>
          </w:p>
        </w:tc>
        <w:tc>
          <w:tcPr>
            <w:tcW w:type="dxa" w:w="763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1st Period</w:t>
            </w:r>
          </w:p>
        </w:tc>
      </w:tr>
      <w:tr>
        <w:trPr>
          <w:cantSplit/>
        </w:trPr>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6:00-6:02 PM</w:t>
            </w:r>
          </w:p>
        </w:tc>
        <w:tc>
          <w:tcPr>
            <w:tcW w:type="dxa" w:w="763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Passing</w:t>
            </w:r>
          </w:p>
        </w:tc>
      </w:tr>
      <w:tr>
        <w:trPr>
          <w:cantSplit/>
        </w:trPr>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6:02-6:32 PM</w:t>
            </w:r>
          </w:p>
        </w:tc>
        <w:tc>
          <w:tcPr>
            <w:tcW w:type="dxa" w:w="763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2nd Period</w:t>
            </w:r>
          </w:p>
        </w:tc>
      </w:tr>
      <w:tr>
        <w:trPr>
          <w:cantSplit/>
        </w:trPr>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6:32-6:34 PM</w:t>
            </w:r>
          </w:p>
        </w:tc>
        <w:tc>
          <w:tcPr>
            <w:tcW w:type="dxa" w:w="763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Passing</w:t>
            </w:r>
          </w:p>
        </w:tc>
      </w:tr>
      <w:tr>
        <w:trPr>
          <w:cantSplit/>
        </w:trPr>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6:34-6:56 PM</w:t>
            </w:r>
          </w:p>
        </w:tc>
        <w:tc>
          <w:tcPr>
            <w:tcW w:type="dxa" w:w="763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Lunch</w:t>
            </w:r>
          </w:p>
        </w:tc>
      </w:tr>
      <w:tr>
        <w:trPr>
          <w:cantSplit/>
        </w:trPr>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6:56-6:58 PM</w:t>
            </w:r>
          </w:p>
        </w:tc>
        <w:tc>
          <w:tcPr>
            <w:tcW w:type="dxa" w:w="763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Passing</w:t>
            </w:r>
          </w:p>
        </w:tc>
      </w:tr>
      <w:tr>
        <w:trPr>
          <w:cantSplit/>
        </w:trPr>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6:58-7:28 PM</w:t>
            </w:r>
          </w:p>
        </w:tc>
        <w:tc>
          <w:tcPr>
            <w:tcW w:type="dxa" w:w="763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3rd Period</w:t>
            </w:r>
          </w:p>
        </w:tc>
      </w:tr>
      <w:tr>
        <w:trPr>
          <w:cantSplit/>
        </w:trPr>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7:28-7:30 PM</w:t>
            </w:r>
          </w:p>
        </w:tc>
        <w:tc>
          <w:tcPr>
            <w:tcW w:type="dxa" w:w="763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Passing</w:t>
            </w:r>
          </w:p>
        </w:tc>
      </w:tr>
      <w:tr>
        <w:trPr>
          <w:cantSplit/>
        </w:trPr>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7:30-8:00 PM</w:t>
            </w:r>
          </w:p>
        </w:tc>
        <w:tc>
          <w:tcPr>
            <w:tcW w:type="dxa" w:w="763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4th Period</w:t>
            </w:r>
          </w:p>
        </w:tc>
      </w:tr>
      <w:tr>
        <w:trPr>
          <w:cantSplit/>
        </w:trPr>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8:00 PM</w:t>
            </w:r>
          </w:p>
        </w:tc>
        <w:tc>
          <w:tcPr>
            <w:tcW w:type="dxa" w:w="763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Student Dismissal</w:t>
            </w:r>
          </w:p>
        </w:tc>
      </w:tr>
      <w:tr>
        <w:trPr>
          <w:cantSplit/>
        </w:trPr>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8:02-8:10 PM</w:t>
            </w:r>
          </w:p>
        </w:tc>
        <w:tc>
          <w:tcPr>
            <w:tcW w:type="dxa" w:w="763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Staff Debrief</w:t>
            </w:r>
          </w:p>
        </w:tc>
      </w:tr>
    </w:tbl>
    <w:p>
      <w:pPr>
        <w:pStyle w:val="Heading1"/>
      </w:pPr>
      <w:r>
        <w:t>2. Weekly Schedule</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87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6"/>
              </w:rPr>
              <w:t>Day</w:t>
            </w:r>
          </w:p>
        </w:tc>
        <w:tc>
          <w:tcPr>
            <w:tcW w:type="dxa" w:w="216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6"/>
              </w:rPr>
              <w:t>Schedule</w:t>
            </w:r>
          </w:p>
        </w:tc>
        <w:tc>
          <w:tcPr>
            <w:tcW w:type="dxa" w:w="61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6"/>
              </w:rPr>
              <w:t>Notes</w:t>
            </w:r>
          </w:p>
        </w:tc>
      </w:tr>
      <w:tr>
        <w:trPr>
          <w:cantSplit/>
        </w:trPr>
        <w:tc>
          <w:tcPr>
            <w:tcW w:type="dxa" w:w="187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Monday</w:t>
            </w:r>
          </w:p>
        </w:tc>
        <w:tc>
          <w:tcPr>
            <w:tcW w:type="dxa" w:w="216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A Day</w:t>
            </w:r>
          </w:p>
        </w:tc>
        <w:tc>
          <w:tcPr>
            <w:tcW w:type="dxa" w:w="61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A1-A4</w:t>
            </w:r>
          </w:p>
        </w:tc>
      </w:tr>
      <w:tr>
        <w:trPr>
          <w:cantSplit/>
        </w:trPr>
        <w:tc>
          <w:tcPr>
            <w:tcW w:type="dxa" w:w="187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Tuesday</w:t>
            </w:r>
          </w:p>
        </w:tc>
        <w:tc>
          <w:tcPr>
            <w:tcW w:type="dxa" w:w="216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B Day</w:t>
            </w:r>
          </w:p>
        </w:tc>
        <w:tc>
          <w:tcPr>
            <w:tcW w:type="dxa" w:w="61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B1-B4</w:t>
            </w:r>
          </w:p>
        </w:tc>
      </w:tr>
      <w:tr>
        <w:trPr>
          <w:cantSplit/>
        </w:trPr>
        <w:tc>
          <w:tcPr>
            <w:tcW w:type="dxa" w:w="187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Wednesday</w:t>
            </w:r>
          </w:p>
        </w:tc>
        <w:tc>
          <w:tcPr>
            <w:tcW w:type="dxa" w:w="216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A Day</w:t>
            </w:r>
          </w:p>
        </w:tc>
        <w:tc>
          <w:tcPr>
            <w:tcW w:type="dxa" w:w="61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A1-A4</w:t>
            </w:r>
          </w:p>
        </w:tc>
      </w:tr>
      <w:tr>
        <w:trPr>
          <w:cantSplit/>
        </w:trPr>
        <w:tc>
          <w:tcPr>
            <w:tcW w:type="dxa" w:w="187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Thursday</w:t>
            </w:r>
          </w:p>
        </w:tc>
        <w:tc>
          <w:tcPr>
            <w:tcW w:type="dxa" w:w="216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B Day</w:t>
            </w:r>
          </w:p>
        </w:tc>
        <w:tc>
          <w:tcPr>
            <w:tcW w:type="dxa" w:w="61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B1-B4</w:t>
            </w:r>
          </w:p>
        </w:tc>
      </w:tr>
      <w:tr>
        <w:trPr>
          <w:cantSplit/>
        </w:trPr>
        <w:tc>
          <w:tcPr>
            <w:tcW w:type="dxa" w:w="187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Friday</w:t>
            </w:r>
          </w:p>
        </w:tc>
        <w:tc>
          <w:tcPr>
            <w:tcW w:type="dxa" w:w="216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Green Day</w:t>
            </w:r>
          </w:p>
        </w:tc>
        <w:tc>
          <w:tcPr>
            <w:tcW w:type="dxa" w:w="61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G1 Advisory; G2 Intervention; G3 Enrichment; G4 Flex</w:t>
            </w:r>
          </w:p>
        </w:tc>
      </w:tr>
    </w:tbl>
    <w:p>
      <w:r>
        <w:br w:type="page"/>
      </w:r>
    </w:p>
    <w:tbl>
      <w:tblPr>
        <w:tblW w:type="auto" w:w="0"/>
        <w:jc w:val="center"/>
        <w:tblLook w:firstColumn="1" w:firstRow="1" w:lastColumn="0" w:lastRow="0" w:noHBand="0" w:noVBand="1" w:val="04A0"/>
      </w:tblPr>
      <w:tblGrid>
        <w:gridCol w:w="10166"/>
      </w:tblGrid>
      <w:tr>
        <w:tc>
          <w:tcPr>
            <w:tcW w:type="dxa" w:w="10166"/>
            <w:shd w:fill="0B4B33"/>
            <w:tcMar>
              <w:top w:w="85" w:type="dxa"/>
              <w:start w:w="140" w:type="dxa"/>
              <w:bottom w:w="85" w:type="dxa"/>
              <w:end w:w="140" w:type="dxa"/>
            </w:tcMar>
          </w:tcPr>
          <w:p>
            <w:r>
              <w:rPr>
                <w:b/>
                <w:color w:val="FFFFFF"/>
                <w:sz w:val="26"/>
              </w:rPr>
              <w:t>BEFORE STUDENTS ARRIVE</w:t>
            </w:r>
          </w:p>
          <w:p>
            <w:pPr>
              <w:pStyle w:val="SmallNote"/>
            </w:pPr>
            <w:r>
              <w:rPr>
                <w:color w:val="DDE9E1"/>
              </w:rPr>
              <w:t>Complete these steps before taking responsibility for the first class.</w:t>
            </w:r>
          </w:p>
        </w:tc>
      </w:tr>
    </w:tbl>
    <w:p/>
    <w:p>
      <w:pPr>
        <w:spacing w:after="50"/>
        <w:ind w:left="259" w:hanging="259"/>
      </w:pPr>
      <w:r>
        <w:t>1. Check in at the main office and confirm the teacher, room, day type, and any special duties.</w:t>
      </w:r>
    </w:p>
    <w:p>
      <w:pPr>
        <w:spacing w:after="50"/>
        <w:ind w:left="259" w:hanging="259"/>
      </w:pPr>
      <w:r>
        <w:t>2. Collect the substitute folder, class rosters, seating charts, lesson plans, keys/access items, and emergency instructions.</w:t>
      </w:r>
    </w:p>
    <w:p>
      <w:pPr>
        <w:spacing w:after="50"/>
        <w:ind w:left="259" w:hanging="259"/>
      </w:pPr>
      <w:r>
        <w:t>3. Review medical/safety alerts provided for students in your care. Keep all information confidential.</w:t>
      </w:r>
    </w:p>
    <w:p>
      <w:pPr>
        <w:spacing w:after="50"/>
        <w:ind w:left="259" w:hanging="259"/>
      </w:pPr>
      <w:r>
        <w:t>4. Locate the nearest exit route, shelter location, classroom phone/radio if provided, and emergency procedures.</w:t>
      </w:r>
    </w:p>
    <w:p>
      <w:pPr>
        <w:spacing w:after="50"/>
        <w:ind w:left="259" w:hanging="259"/>
      </w:pPr>
      <w:r>
        <w:t>5. Review the teacher's plan for each block. Contact the office before class if essential materials are missing.</w:t>
      </w:r>
    </w:p>
    <w:p>
      <w:pPr>
        <w:spacing w:after="50"/>
        <w:ind w:left="259" w:hanging="259"/>
      </w:pPr>
      <w:r>
        <w:t>6. Write your name and the day's agenda on the board and be at the door as students enter.</w:t>
      </w:r>
    </w:p>
    <w:p>
      <w:pPr>
        <w:pStyle w:val="Heading1"/>
      </w:pPr>
      <w:r>
        <w:t>Attendance &amp; Student Accountability</w:t>
      </w:r>
    </w:p>
    <w:p>
      <w:pPr>
        <w:pStyle w:val="ListBullet"/>
        <w:spacing w:after="50"/>
      </w:pPr>
      <w:r>
        <w:t>Take attendance at the beginning of every assigned block, ideally within the first five minutes.</w:t>
      </w:r>
    </w:p>
    <w:p>
      <w:pPr>
        <w:pStyle w:val="ListBullet"/>
        <w:spacing w:after="50"/>
      </w:pPr>
      <w:r>
        <w:t>Use the SIS if substitute credentials are issued; otherwise use the official paper/office attendance method.</w:t>
      </w:r>
    </w:p>
    <w:p>
      <w:pPr>
        <w:pStyle w:val="ListBullet"/>
        <w:spacing w:after="50"/>
      </w:pPr>
      <w:r>
        <w:t>Never mark a student present solely because another student says the student is on campus.</w:t>
      </w:r>
    </w:p>
    <w:p>
      <w:pPr>
        <w:pStyle w:val="ListBullet"/>
        <w:spacing w:after="50"/>
      </w:pPr>
      <w:r>
        <w:t>Report unexplained absences, missing students, or students who leave without authorization to the office promptly.</w:t>
      </w:r>
    </w:p>
    <w:p>
      <w:pPr>
        <w:pStyle w:val="ListBullet"/>
        <w:spacing w:after="50"/>
      </w:pPr>
      <w:r>
        <w:t>Do not permit students to trade classes, visit another classroom, or leave for an unscheduled activity without authorization.</w:t>
      </w:r>
    </w:p>
    <w:p>
      <w:pPr>
        <w:pStyle w:val="Heading1"/>
      </w:pPr>
      <w:r>
        <w:t>Instructional Expectations</w:t>
      </w:r>
    </w:p>
    <w:p>
      <w:pPr>
        <w:pStyle w:val="ListBullet"/>
        <w:spacing w:after="50"/>
      </w:pPr>
      <w:r>
        <w:t>Follow the teacher's lesson plan and assigned curriculum as closely as possible.</w:t>
      </w:r>
    </w:p>
    <w:p>
      <w:pPr>
        <w:pStyle w:val="ListBullet"/>
        <w:spacing w:after="50"/>
      </w:pPr>
      <w:r>
        <w:t>Do not replace assigned work with movies, free time, games, or personal activities unless the plan authorizes it.</w:t>
      </w:r>
    </w:p>
    <w:p>
      <w:pPr>
        <w:pStyle w:val="ListBullet"/>
        <w:spacing w:after="50"/>
      </w:pPr>
      <w:r>
        <w:t>Keep students engaged for the full 30-minute block; transitions must be quick because instructional time is limited.</w:t>
      </w:r>
    </w:p>
    <w:p>
      <w:pPr>
        <w:pStyle w:val="ListBullet"/>
        <w:spacing w:after="50"/>
      </w:pPr>
      <w:r>
        <w:t>Collect and label student work exactly as instructed. Do not assign major new graded work unless directed.</w:t>
      </w:r>
    </w:p>
    <w:p>
      <w:pPr>
        <w:pStyle w:val="ListBullet"/>
        <w:spacing w:after="50"/>
      </w:pPr>
      <w:r>
        <w:t>If technology fails, use the provided backup activity or contact the office/department support rather than dismissing instruction.</w:t>
      </w:r>
    </w:p>
    <w:p>
      <w:pPr>
        <w:pStyle w:val="Heading1"/>
      </w:pPr>
      <w:r>
        <w:t>Classroom Management</w:t>
      </w:r>
    </w:p>
    <w:tbl>
      <w:tblPr>
        <w:tblW w:type="auto" w:w="0"/>
        <w:jc w:val="center"/>
        <w:tblLook w:firstColumn="1" w:firstRow="1" w:lastColumn="0" w:lastRow="0" w:noHBand="0" w:noVBand="1" w:val="04A0"/>
      </w:tblPr>
      <w:tblGrid>
        <w:gridCol w:w="10166"/>
      </w:tblGrid>
      <w:tr>
        <w:tc>
          <w:tcPr>
            <w:tcW w:type="dxa" w:w="10166"/>
            <w:shd w:fill="EAF3EC"/>
            <w:tcBorders>
              <w:left w:val="single" w:sz="18" w:color="6AA84F"/>
            </w:tcBorders>
            <w:tcMar>
              <w:top w:w="90" w:type="dxa"/>
              <w:start w:w="140" w:type="dxa"/>
              <w:bottom w:w="90" w:type="dxa"/>
              <w:end w:w="120" w:type="dxa"/>
            </w:tcMar>
          </w:tcPr>
          <w:p>
            <w:r>
              <w:rPr>
                <w:b/>
                <w:color w:val="0B4B33"/>
              </w:rPr>
              <w:t>CORE STANDARD</w:t>
            </w:r>
          </w:p>
          <w:p>
            <w:pPr>
              <w:pStyle w:val="SmallNote"/>
            </w:pPr>
            <w:r>
              <w:t>Be calm, visible, fair, and consistent. Correct behavior early and privately when possible. Do not argue with students or create public power struggles.</w:t>
            </w:r>
          </w:p>
        </w:tc>
      </w:tr>
    </w:tbl>
    <w:p>
      <w:pPr>
        <w:spacing w:after="50"/>
        <w:ind w:left="259" w:hanging="259"/>
      </w:pPr>
      <w:r>
        <w:t>1. Redirect the student and restate the expected behavior.</w:t>
      </w:r>
    </w:p>
    <w:p>
      <w:pPr>
        <w:spacing w:after="50"/>
        <w:ind w:left="259" w:hanging="259"/>
      </w:pPr>
      <w:r>
        <w:t>2. Give a clear warning and reasonable classroom consequence such as seat relocation.</w:t>
      </w:r>
    </w:p>
    <w:p>
      <w:pPr>
        <w:spacing w:after="50"/>
        <w:ind w:left="259" w:hanging="259"/>
      </w:pPr>
      <w:r>
        <w:t>3. Document continued disruption and contact the office/administrator according to the referral procedure.</w:t>
      </w:r>
    </w:p>
    <w:p>
      <w:pPr>
        <w:spacing w:after="50"/>
        <w:ind w:left="259" w:hanging="259"/>
      </w:pPr>
      <w:r>
        <w:t>4. Request immediate administrative assistance for threats, fighting, serious harassment, weapons, suspected drugs, major defiance, medical danger, or a student attempting to leave supervision.</w:t>
      </w:r>
    </w:p>
    <w:p>
      <w:r>
        <w:br w:type="page"/>
      </w:r>
    </w:p>
    <w:tbl>
      <w:tblPr>
        <w:tblW w:type="auto" w:w="0"/>
        <w:jc w:val="center"/>
        <w:tblLook w:firstColumn="1" w:firstRow="1" w:lastColumn="0" w:lastRow="0" w:noHBand="0" w:noVBand="1" w:val="04A0"/>
      </w:tblPr>
      <w:tblGrid>
        <w:gridCol w:w="10166"/>
      </w:tblGrid>
      <w:tr>
        <w:tc>
          <w:tcPr>
            <w:tcW w:type="dxa" w:w="10166"/>
            <w:shd w:fill="0B4B33"/>
            <w:tcMar>
              <w:top w:w="85" w:type="dxa"/>
              <w:start w:w="140" w:type="dxa"/>
              <w:bottom w:w="85" w:type="dxa"/>
              <w:end w:w="140" w:type="dxa"/>
            </w:tcMar>
          </w:tcPr>
          <w:p>
            <w:r>
              <w:rPr>
                <w:b/>
                <w:color w:val="FFFFFF"/>
                <w:sz w:val="26"/>
              </w:rPr>
              <w:t>SAFETY, EMERGENCIES &amp; PROFESSIONAL BOUNDARIES</w:t>
            </w:r>
          </w:p>
          <w:p>
            <w:pPr>
              <w:pStyle w:val="SmallNote"/>
            </w:pPr>
            <w:r>
              <w:rPr>
                <w:color w:val="DDE9E1"/>
              </w:rPr>
              <w:t>When in doubt, preserve student safety, maintain supervision, and contact administration.</w:t>
            </w:r>
          </w:p>
        </w:tc>
      </w:tr>
    </w:tbl>
    <w:p/>
    <w:p>
      <w:pPr>
        <w:pStyle w:val="Heading1"/>
      </w:pPr>
      <w:r>
        <w:t>Emergency Response</w:t>
      </w:r>
    </w:p>
    <w:p>
      <w:pPr>
        <w:pStyle w:val="ListBullet"/>
        <w:spacing w:after="50"/>
      </w:pPr>
      <w:r>
        <w:t>Follow the East Green Emergency Operations Plan and all announcements immediately.</w:t>
      </w:r>
    </w:p>
    <w:p>
      <w:pPr>
        <w:pStyle w:val="ListBullet"/>
        <w:spacing w:after="50"/>
      </w:pPr>
      <w:r>
        <w:t>Keep the class roster with you during evacuation, shelter, secure, or lockdown procedures when safely possible.</w:t>
      </w:r>
    </w:p>
    <w:p>
      <w:pPr>
        <w:pStyle w:val="ListBullet"/>
        <w:spacing w:after="50"/>
      </w:pPr>
      <w:r>
        <w:t>Account for students after movement and report missing/extra students through the designated process.</w:t>
      </w:r>
    </w:p>
    <w:p>
      <w:pPr>
        <w:pStyle w:val="ListBullet"/>
        <w:spacing w:after="50"/>
      </w:pPr>
      <w:r>
        <w:t>Do not release students during an emergency unless directed by administration.</w:t>
      </w:r>
    </w:p>
    <w:p>
      <w:pPr>
        <w:pStyle w:val="ListBullet"/>
        <w:spacing w:after="50"/>
      </w:pPr>
      <w:r>
        <w:t>Do not post emergency information, student names, photographs, or incident details to social media.</w:t>
      </w:r>
    </w:p>
    <w:p>
      <w:pPr>
        <w:pStyle w:val="Heading1"/>
      </w:pPr>
      <w:r>
        <w:t>Student Health &amp; Welfare</w:t>
      </w:r>
    </w:p>
    <w:p>
      <w:pPr>
        <w:pStyle w:val="ListBullet"/>
        <w:spacing w:after="50"/>
      </w:pPr>
      <w:r>
        <w:t>Send routine health concerns according to office procedures; never provide medication from personal supplies.</w:t>
      </w:r>
    </w:p>
    <w:p>
      <w:pPr>
        <w:pStyle w:val="ListBullet"/>
        <w:spacing w:after="50"/>
      </w:pPr>
      <w:r>
        <w:t>For serious illness or injury, call the office/emergency response immediately and remain with the student unless directed otherwise.</w:t>
      </w:r>
    </w:p>
    <w:p>
      <w:pPr>
        <w:pStyle w:val="ListBullet"/>
        <w:spacing w:after="50"/>
      </w:pPr>
      <w:r>
        <w:t>Report disclosures involving abuse, self-harm, threats, or serious safety concerns to administration/counseling immediately. Do not promise secrecy.</w:t>
      </w:r>
    </w:p>
    <w:p>
      <w:pPr>
        <w:pStyle w:val="ListBullet"/>
        <w:spacing w:after="50"/>
      </w:pPr>
      <w:r>
        <w:t>Do not investigate sensitive allegations yourself beyond obtaining enough information to understand that a concern exists.</w:t>
      </w:r>
    </w:p>
    <w:p>
      <w:pPr>
        <w:pStyle w:val="Heading1"/>
      </w:pPr>
      <w:r>
        <w:t>Professional Boundaries</w:t>
      </w:r>
    </w:p>
    <w:p>
      <w:pPr>
        <w:pStyle w:val="ListBullet"/>
        <w:spacing w:after="50"/>
      </w:pPr>
      <w:r>
        <w:t>Use professional language and maintain adult-student boundaries at all times.</w:t>
      </w:r>
    </w:p>
    <w:p>
      <w:pPr>
        <w:pStyle w:val="ListBullet"/>
        <w:spacing w:after="50"/>
      </w:pPr>
      <w:r>
        <w:t>Do not exchange personal phone numbers/social media accounts with students or communicate privately outside approved school channels.</w:t>
      </w:r>
    </w:p>
    <w:p>
      <w:pPr>
        <w:pStyle w:val="ListBullet"/>
        <w:spacing w:after="50"/>
      </w:pPr>
      <w:r>
        <w:t>Do not photograph or record students except for a clearly authorized instructional purpose.</w:t>
      </w:r>
    </w:p>
    <w:p>
      <w:pPr>
        <w:pStyle w:val="ListBullet"/>
        <w:spacing w:after="50"/>
      </w:pPr>
      <w:r>
        <w:t>Do not discuss confidential student information with other students or unauthorized adults.</w:t>
      </w:r>
    </w:p>
    <w:p>
      <w:pPr>
        <w:pStyle w:val="ListBullet"/>
        <w:spacing w:after="50"/>
      </w:pPr>
      <w:r>
        <w:t>Avoid physical contact except when reasonably necessary to protect safety or provide emergency aid.</w:t>
      </w:r>
    </w:p>
    <w:p>
      <w:pPr>
        <w:pStyle w:val="ListBullet"/>
        <w:spacing w:after="50"/>
      </w:pPr>
      <w:r>
        <w:t>Do not use school access, keys, or technology for purposes outside the substitute assignment.</w:t>
      </w:r>
    </w:p>
    <w:p>
      <w:pPr>
        <w:pStyle w:val="Heading1"/>
      </w:pPr>
      <w:r>
        <w:t>Technology &amp; SIS</w:t>
      </w:r>
    </w:p>
    <w:p>
      <w:pPr>
        <w:pStyle w:val="ListBullet"/>
        <w:spacing w:after="50"/>
      </w:pPr>
      <w:r>
        <w:t>Use only credentials issued to you. Never use another employee's account.</w:t>
      </w:r>
    </w:p>
    <w:p>
      <w:pPr>
        <w:pStyle w:val="ListBullet"/>
        <w:spacing w:after="50"/>
      </w:pPr>
      <w:r>
        <w:t>Lock the computer when away from the teacher workstation.</w:t>
      </w:r>
    </w:p>
    <w:p>
      <w:pPr>
        <w:pStyle w:val="ListBullet"/>
        <w:spacing w:after="50"/>
      </w:pPr>
      <w:r>
        <w:t>Do not change grades, permanent records, schedules, or student contact information unless explicitly authorized.</w:t>
      </w:r>
    </w:p>
    <w:p>
      <w:pPr>
        <w:pStyle w:val="ListBullet"/>
        <w:spacing w:after="50"/>
      </w:pPr>
      <w:r>
        <w:t>Report suspicious messages, inappropriate student device use, or technology incidents according to school procedures.</w:t>
      </w:r>
    </w:p>
    <w:p>
      <w:r>
        <w:br w:type="page"/>
      </w:r>
    </w:p>
    <w:tbl>
      <w:tblPr>
        <w:tblW w:type="auto" w:w="0"/>
        <w:jc w:val="center"/>
        <w:tblLook w:firstColumn="1" w:firstRow="1" w:lastColumn="0" w:lastRow="0" w:noHBand="0" w:noVBand="1" w:val="04A0"/>
      </w:tblPr>
      <w:tblGrid>
        <w:gridCol w:w="10166"/>
      </w:tblGrid>
      <w:tr>
        <w:tc>
          <w:tcPr>
            <w:tcW w:type="dxa" w:w="10166"/>
            <w:shd w:fill="0B4B33"/>
            <w:tcMar>
              <w:top w:w="85" w:type="dxa"/>
              <w:start w:w="140" w:type="dxa"/>
              <w:bottom w:w="85" w:type="dxa"/>
              <w:end w:w="140" w:type="dxa"/>
            </w:tcMar>
          </w:tcPr>
          <w:p>
            <w:r>
              <w:rPr>
                <w:b/>
                <w:color w:val="FFFFFF"/>
                <w:sz w:val="26"/>
              </w:rPr>
              <w:t>GREEN DAY SUBSTITUTE PROCEDURES</w:t>
            </w:r>
          </w:p>
          <w:p>
            <w:pPr>
              <w:pStyle w:val="SmallNote"/>
            </w:pPr>
            <w:r>
              <w:rPr>
                <w:color w:val="DDE9E1"/>
              </w:rPr>
              <w:t>Friday assignments may differ significantly from a normal A/B day.</w:t>
            </w:r>
          </w:p>
        </w:tc>
      </w:tr>
    </w:tbl>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5"/>
              </w:rPr>
              <w:t>Block</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5"/>
              </w:rPr>
              <w:t>Purpose</w:t>
            </w:r>
          </w:p>
        </w:tc>
        <w:tc>
          <w:tcPr>
            <w:tcW w:type="dxa" w:w="61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5"/>
              </w:rPr>
              <w:t>Substitute Expectation</w:t>
            </w:r>
          </w:p>
        </w:tc>
      </w:tr>
      <w:tr>
        <w:trPr>
          <w:cantSplit/>
        </w:trPr>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G1</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Advisory &amp; Student Success</w:t>
            </w:r>
          </w:p>
        </w:tc>
        <w:tc>
          <w:tcPr>
            <w:tcW w:type="dxa" w:w="61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Use the provided advisory lesson, take attendance, guide progress checks and announcements.</w:t>
            </w:r>
          </w:p>
        </w:tc>
      </w:tr>
      <w:tr>
        <w:trPr>
          <w:cantSplit/>
        </w:trPr>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G2</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Academic Support &amp; Intervention</w:t>
            </w:r>
          </w:p>
        </w:tc>
        <w:tc>
          <w:tcPr>
            <w:tcW w:type="dxa" w:w="61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Supervise assigned tutoring/make-up work. Students should be in their assigned intervention or approved support area.</w:t>
            </w:r>
          </w:p>
        </w:tc>
      </w:tr>
      <w:tr>
        <w:trPr>
          <w:cantSplit/>
        </w:trPr>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G3</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Clubs, Pathways &amp; Enrichment</w:t>
            </w:r>
          </w:p>
        </w:tc>
        <w:tc>
          <w:tcPr>
            <w:tcW w:type="dxa" w:w="61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Follow the sponsoring teacher's plan; do not conduct specialized labs/scenarios unless the activity can be safely supervised by a substitute.</w:t>
            </w:r>
          </w:p>
        </w:tc>
      </w:tr>
      <w:tr>
        <w:trPr>
          <w:cantSplit/>
        </w:trPr>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G4</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Flex / Extended Learning</w:t>
            </w:r>
          </w:p>
        </w:tc>
        <w:tc>
          <w:tcPr>
            <w:tcW w:type="dxa" w:w="61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May include testing, project work, assemblies, intervention, or supervised study. Follow that week's posted assignment.</w:t>
            </w:r>
          </w:p>
        </w:tc>
      </w:tr>
    </w:tbl>
    <w:tbl>
      <w:tblPr>
        <w:tblW w:type="auto" w:w="0"/>
        <w:jc w:val="center"/>
        <w:tblLook w:firstColumn="1" w:firstRow="1" w:lastColumn="0" w:lastRow="0" w:noHBand="0" w:noVBand="1" w:val="04A0"/>
      </w:tblPr>
      <w:tblGrid>
        <w:gridCol w:w="10166"/>
      </w:tblGrid>
      <w:tr>
        <w:tc>
          <w:tcPr>
            <w:tcW w:type="dxa" w:w="10166"/>
            <w:shd w:fill="EAF3EC"/>
            <w:tcBorders>
              <w:left w:val="single" w:sz="18" w:color="6AA84F"/>
            </w:tcBorders>
            <w:tcMar>
              <w:top w:w="90" w:type="dxa"/>
              <w:start w:w="140" w:type="dxa"/>
              <w:bottom w:w="90" w:type="dxa"/>
              <w:end w:w="120" w:type="dxa"/>
            </w:tcMar>
          </w:tcPr>
          <w:p>
            <w:r>
              <w:rPr>
                <w:b/>
                <w:color w:val="0B4B33"/>
              </w:rPr>
              <w:t>SPECIALIZED COURSES</w:t>
            </w:r>
          </w:p>
          <w:p>
            <w:pPr>
              <w:pStyle w:val="SmallNote"/>
            </w:pPr>
            <w:r>
              <w:t>For culinary, science labs, law/public-safety scenarios, fitness activities, and technology labs, substitutes should not perform demonstrations or permit hazardous/specialized activities unless the written plan explicitly states they are approved and safe for substitute supervision. Use the backup lesson when required.</w:t>
            </w:r>
          </w:p>
        </w:tc>
      </w:tr>
    </w:tbl>
    <w:p>
      <w:pPr>
        <w:pStyle w:val="Heading1"/>
      </w:pPr>
      <w:r>
        <w:t>Planning Periods &amp; Additional Coverage</w:t>
      </w:r>
    </w:p>
    <w:p>
      <w:r>
        <w:t>A substitute may be assigned another class, hallway supervision, intervention support, testing support, or office-approved duty during the absent teacher's planning period. Do not leave campus or assume the planning period is personal time unless the office releases you.</w:t>
      </w:r>
    </w:p>
    <w:p>
      <w:pPr>
        <w:pStyle w:val="Heading1"/>
      </w:pPr>
      <w:r>
        <w:t>End-of-Day Procedure</w:t>
      </w:r>
    </w:p>
    <w:p>
      <w:pPr>
        <w:spacing w:after="50"/>
        <w:ind w:left="259" w:hanging="259"/>
      </w:pPr>
      <w:r>
        <w:t>1. Leave the room orderly and secure all teacher materials, student work, and confidential records.</w:t>
      </w:r>
    </w:p>
    <w:p>
      <w:pPr>
        <w:spacing w:after="50"/>
        <w:ind w:left="259" w:hanging="259"/>
      </w:pPr>
      <w:r>
        <w:t>2. Complete a substitute report summarizing attendance issues, work completed, behavior concerns, missing materials, and positive notes.</w:t>
      </w:r>
    </w:p>
    <w:p>
      <w:pPr>
        <w:spacing w:after="50"/>
        <w:ind w:left="259" w:hanging="259"/>
      </w:pPr>
      <w:r>
        <w:t>3. Return keys/access items and any paper attendance or referrals to the main office.</w:t>
      </w:r>
    </w:p>
    <w:p>
      <w:pPr>
        <w:spacing w:after="50"/>
        <w:ind w:left="259" w:hanging="259"/>
      </w:pPr>
      <w:r>
        <w:t>4. Report serious incidents directly to an administrator before leaving; do not rely only on a written note.</w:t>
      </w:r>
    </w:p>
    <w:p>
      <w:pPr>
        <w:spacing w:after="50"/>
        <w:ind w:left="259" w:hanging="259"/>
      </w:pPr>
      <w:r>
        <w:t>5. Attend the 8:02-8:10 staff debrief when directed or when you need to report an unresolved issue.</w:t>
      </w:r>
    </w:p>
    <w:p>
      <w:r>
        <w:br w:type="page"/>
      </w:r>
    </w:p>
    <w:tbl>
      <w:tblPr>
        <w:tblW w:type="auto" w:w="0"/>
        <w:jc w:val="center"/>
        <w:tblLook w:firstColumn="1" w:firstRow="1" w:lastColumn="0" w:lastRow="0" w:noHBand="0" w:noVBand="1" w:val="04A0"/>
      </w:tblPr>
      <w:tblGrid>
        <w:gridCol w:w="10166"/>
      </w:tblGrid>
      <w:tr>
        <w:tc>
          <w:tcPr>
            <w:tcW w:type="dxa" w:w="10166"/>
            <w:shd w:fill="0B4B33"/>
            <w:tcMar>
              <w:top w:w="85" w:type="dxa"/>
              <w:start w:w="140" w:type="dxa"/>
              <w:bottom w:w="85" w:type="dxa"/>
              <w:end w:w="140" w:type="dxa"/>
            </w:tcMar>
          </w:tcPr>
          <w:p>
            <w:r>
              <w:rPr>
                <w:b/>
                <w:color w:val="FFFFFF"/>
                <w:sz w:val="26"/>
              </w:rPr>
              <w:t>SUBSTITUTE REPORT</w:t>
            </w:r>
          </w:p>
          <w:p>
            <w:pPr>
              <w:pStyle w:val="SmallNote"/>
            </w:pPr>
            <w:r>
              <w:rPr>
                <w:color w:val="DDE9E1"/>
              </w:rPr>
              <w:t>Leave a clear record for the returning teacher and administration.</w:t>
            </w:r>
          </w:p>
        </w:tc>
      </w:tr>
    </w:tbl>
    <w:p/>
    <w:p>
      <w:r>
        <w:t>Complete this report before returning keys/materials to the main office. For serious incidents, speak directly with an administrator before leaving; the written report does not replace an immediate referral or safety report.</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6"/>
              </w:rPr>
              <w:t>Field</w:t>
            </w:r>
          </w:p>
        </w:tc>
        <w:tc>
          <w:tcPr>
            <w:tcW w:type="dxa" w:w="73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6"/>
              </w:rPr>
              <w:t>Notes</w:t>
            </w:r>
          </w:p>
        </w:tc>
      </w:tr>
      <w:tr>
        <w:trPr>
          <w:cantSplit/>
          <w:trHeight w:val="547"/>
        </w:trPr>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Teacher / Date</w:t>
            </w:r>
          </w:p>
        </w:tc>
        <w:tc>
          <w:tcPr>
            <w:tcW w:type="dxa" w:w="73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r>
          </w:p>
        </w:tc>
      </w:tr>
      <w:tr>
        <w:trPr>
          <w:cantSplit/>
          <w:trHeight w:val="547"/>
        </w:trPr>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A/B/Green Day</w:t>
            </w:r>
          </w:p>
        </w:tc>
        <w:tc>
          <w:tcPr>
            <w:tcW w:type="dxa" w:w="73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r>
          </w:p>
        </w:tc>
      </w:tr>
      <w:tr>
        <w:trPr>
          <w:cantSplit/>
          <w:trHeight w:val="547"/>
        </w:trPr>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Classes Covered</w:t>
            </w:r>
          </w:p>
        </w:tc>
        <w:tc>
          <w:tcPr>
            <w:tcW w:type="dxa" w:w="73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r>
          </w:p>
        </w:tc>
      </w:tr>
      <w:tr>
        <w:trPr>
          <w:cantSplit/>
          <w:trHeight w:val="547"/>
        </w:trPr>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Lesson Progress</w:t>
            </w:r>
          </w:p>
        </w:tc>
        <w:tc>
          <w:tcPr>
            <w:tcW w:type="dxa" w:w="73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r>
          </w:p>
        </w:tc>
      </w:tr>
      <w:tr>
        <w:trPr>
          <w:cantSplit/>
          <w:trHeight w:val="547"/>
        </w:trPr>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Attendance Issues</w:t>
            </w:r>
          </w:p>
        </w:tc>
        <w:tc>
          <w:tcPr>
            <w:tcW w:type="dxa" w:w="73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r>
          </w:p>
        </w:tc>
      </w:tr>
      <w:tr>
        <w:trPr>
          <w:cantSplit/>
          <w:trHeight w:val="547"/>
        </w:trPr>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Behavior / Referrals</w:t>
            </w:r>
          </w:p>
        </w:tc>
        <w:tc>
          <w:tcPr>
            <w:tcW w:type="dxa" w:w="73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r>
          </w:p>
        </w:tc>
      </w:tr>
      <w:tr>
        <w:trPr>
          <w:cantSplit/>
          <w:trHeight w:val="547"/>
        </w:trPr>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Students Requiring Follow-Up</w:t>
            </w:r>
          </w:p>
        </w:tc>
        <w:tc>
          <w:tcPr>
            <w:tcW w:type="dxa" w:w="73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r>
          </w:p>
        </w:tc>
      </w:tr>
      <w:tr>
        <w:trPr>
          <w:cantSplit/>
          <w:trHeight w:val="547"/>
        </w:trPr>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Technology / Facility Issues</w:t>
            </w:r>
          </w:p>
        </w:tc>
        <w:tc>
          <w:tcPr>
            <w:tcW w:type="dxa" w:w="73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r>
          </w:p>
        </w:tc>
      </w:tr>
      <w:tr>
        <w:trPr>
          <w:cantSplit/>
          <w:trHeight w:val="547"/>
        </w:trPr>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Positive Notes</w:t>
            </w:r>
          </w:p>
        </w:tc>
        <w:tc>
          <w:tcPr>
            <w:tcW w:type="dxa" w:w="73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r>
          </w:p>
        </w:tc>
      </w:tr>
      <w:tr>
        <w:trPr>
          <w:cantSplit/>
          <w:trHeight w:val="547"/>
        </w:trPr>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Substitute Name / Signature</w:t>
            </w:r>
          </w:p>
        </w:tc>
        <w:tc>
          <w:tcPr>
            <w:tcW w:type="dxa" w:w="73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r>
          </w:p>
        </w:tc>
      </w:tr>
    </w:tbl>
    <w:tbl>
      <w:tblPr>
        <w:tblW w:type="auto" w:w="0"/>
        <w:jc w:val="center"/>
        <w:tblLook w:firstColumn="1" w:firstRow="1" w:lastColumn="0" w:lastRow="0" w:noHBand="0" w:noVBand="1" w:val="04A0"/>
      </w:tblPr>
      <w:tblGrid>
        <w:gridCol w:w="10166"/>
      </w:tblGrid>
      <w:tr>
        <w:tc>
          <w:tcPr>
            <w:tcW w:type="dxa" w:w="10166"/>
            <w:shd w:fill="EAF3EC"/>
            <w:tcBorders>
              <w:left w:val="single" w:sz="18" w:color="6AA84F"/>
            </w:tcBorders>
            <w:tcMar>
              <w:top w:w="90" w:type="dxa"/>
              <w:start w:w="140" w:type="dxa"/>
              <w:bottom w:w="90" w:type="dxa"/>
              <w:end w:w="120" w:type="dxa"/>
            </w:tcMar>
          </w:tcPr>
          <w:p>
            <w:r>
              <w:rPr>
                <w:b/>
                <w:color w:val="0B4B33"/>
              </w:rPr>
              <w:t>RETURN TO MAIN OFFICE</w:t>
            </w:r>
          </w:p>
          <w:p>
            <w:pPr>
              <w:pStyle w:val="SmallNote"/>
            </w:pPr>
            <w:r>
              <w:t>Submit this report with any paper attendance, discipline referrals, accident/incident documentation, keys, and access items. Preserve student confidentiality when writing notes.</w:t>
            </w:r>
          </w:p>
        </w:tc>
      </w:tr>
    </w:tbl>
    <w:p>
      <w:r>
        <w:br w:type="page"/>
      </w:r>
    </w:p>
    <w:tbl>
      <w:tblPr>
        <w:tblW w:type="auto" w:w="0"/>
        <w:jc w:val="center"/>
        <w:tblLook w:firstColumn="1" w:firstRow="1" w:lastColumn="0" w:lastRow="0" w:noHBand="0" w:noVBand="1" w:val="04A0"/>
      </w:tblPr>
      <w:tblGrid>
        <w:gridCol w:w="10166"/>
      </w:tblGrid>
      <w:tr>
        <w:tc>
          <w:tcPr>
            <w:tcW w:type="dxa" w:w="10166"/>
            <w:shd w:fill="0B4B33"/>
            <w:tcMar>
              <w:top w:w="85" w:type="dxa"/>
              <w:start w:w="140" w:type="dxa"/>
              <w:bottom w:w="85" w:type="dxa"/>
              <w:end w:w="140" w:type="dxa"/>
            </w:tcMar>
          </w:tcPr>
          <w:p>
            <w:r>
              <w:rPr>
                <w:b/>
                <w:color w:val="FFFFFF"/>
                <w:sz w:val="26"/>
              </w:rPr>
              <w:t>QUICK REFERENCE</w:t>
            </w:r>
          </w:p>
          <w:p>
            <w:pPr>
              <w:pStyle w:val="SmallNote"/>
            </w:pPr>
            <w:r>
              <w:rPr>
                <w:color w:val="DDE9E1"/>
              </w:rPr>
              <w:t>Use this page when a situation develops during class.</w:t>
            </w:r>
          </w:p>
        </w:tc>
      </w:tr>
    </w:tbl>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44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5"/>
              </w:rPr>
              <w:t>Situation</w:t>
            </w:r>
          </w:p>
        </w:tc>
        <w:tc>
          <w:tcPr>
            <w:tcW w:type="dxa" w:w="47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5"/>
              </w:rPr>
              <w:t>First Action</w:t>
            </w:r>
          </w:p>
        </w:tc>
        <w:tc>
          <w:tcPr>
            <w:tcW w:type="dxa" w:w="302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5"/>
              </w:rPr>
              <w:t>Escalate To</w:t>
            </w:r>
          </w:p>
        </w:tc>
      </w:tr>
      <w:tr>
        <w:trPr>
          <w:cantSplit/>
        </w:trPr>
        <w:tc>
          <w:tcPr>
            <w:tcW w:type="dxa" w:w="244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Academic question</w:t>
            </w:r>
          </w:p>
        </w:tc>
        <w:tc>
          <w:tcPr>
            <w:tcW w:type="dxa" w:w="47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Use teacher plan / approved resource</w:t>
            </w:r>
          </w:p>
        </w:tc>
        <w:tc>
          <w:tcPr>
            <w:tcW w:type="dxa" w:w="302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Department teacher or Curriculum &amp; Instruction AP</w:t>
            </w:r>
          </w:p>
        </w:tc>
      </w:tr>
      <w:tr>
        <w:trPr>
          <w:cantSplit/>
        </w:trPr>
        <w:tc>
          <w:tcPr>
            <w:tcW w:type="dxa" w:w="244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Routine disruption</w:t>
            </w:r>
          </w:p>
        </w:tc>
        <w:tc>
          <w:tcPr>
            <w:tcW w:type="dxa" w:w="47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Redirect / warn / document</w:t>
            </w:r>
          </w:p>
        </w:tc>
        <w:tc>
          <w:tcPr>
            <w:tcW w:type="dxa" w:w="302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Dr. Cook or office if behavior continues</w:t>
            </w:r>
          </w:p>
        </w:tc>
      </w:tr>
      <w:tr>
        <w:trPr>
          <w:cantSplit/>
        </w:trPr>
        <w:tc>
          <w:tcPr>
            <w:tcW w:type="dxa" w:w="244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Student leaves without permission</w:t>
            </w:r>
          </w:p>
        </w:tc>
        <w:tc>
          <w:tcPr>
            <w:tcW w:type="dxa" w:w="47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Notify office immediately</w:t>
            </w:r>
          </w:p>
        </w:tc>
        <w:tc>
          <w:tcPr>
            <w:tcW w:type="dxa" w:w="302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Dr. Cook</w:t>
            </w:r>
          </w:p>
        </w:tc>
      </w:tr>
      <w:tr>
        <w:trPr>
          <w:cantSplit/>
        </w:trPr>
        <w:tc>
          <w:tcPr>
            <w:tcW w:type="dxa" w:w="244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Schedule/placement question</w:t>
            </w:r>
          </w:p>
        </w:tc>
        <w:tc>
          <w:tcPr>
            <w:tcW w:type="dxa" w:w="47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Keep student in assigned class unless office authorizes change</w:t>
            </w:r>
          </w:p>
        </w:tc>
        <w:tc>
          <w:tcPr>
            <w:tcW w:type="dxa" w:w="302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Counselor / office</w:t>
            </w:r>
          </w:p>
        </w:tc>
      </w:tr>
      <w:tr>
        <w:trPr>
          <w:cantSplit/>
        </w:trPr>
        <w:tc>
          <w:tcPr>
            <w:tcW w:type="dxa" w:w="244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Medical concern</w:t>
            </w:r>
          </w:p>
        </w:tc>
        <w:tc>
          <w:tcPr>
            <w:tcW w:type="dxa" w:w="47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Contact office; provide basic emergency aid if trained/needed</w:t>
            </w:r>
          </w:p>
        </w:tc>
        <w:tc>
          <w:tcPr>
            <w:tcW w:type="dxa" w:w="302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Administration / emergency services as directed</w:t>
            </w:r>
          </w:p>
        </w:tc>
      </w:tr>
      <w:tr>
        <w:trPr>
          <w:cantSplit/>
        </w:trPr>
        <w:tc>
          <w:tcPr>
            <w:tcW w:type="dxa" w:w="244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Threat, fight, weapon, suspected drugs</w:t>
            </w:r>
          </w:p>
        </w:tc>
        <w:tc>
          <w:tcPr>
            <w:tcW w:type="dxa" w:w="47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Request immediate administrative assistance; protect students</w:t>
            </w:r>
          </w:p>
        </w:tc>
        <w:tc>
          <w:tcPr>
            <w:tcW w:type="dxa" w:w="302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Dr. Cook / Dr. Bryant / emergency response</w:t>
            </w:r>
          </w:p>
        </w:tc>
      </w:tr>
      <w:tr>
        <w:trPr>
          <w:cantSplit/>
        </w:trPr>
        <w:tc>
          <w:tcPr>
            <w:tcW w:type="dxa" w:w="244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Student welfare disclosure</w:t>
            </w:r>
          </w:p>
        </w:tc>
        <w:tc>
          <w:tcPr>
            <w:tcW w:type="dxa" w:w="47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Listen, preserve privacy, report promptly; do not investigate</w:t>
            </w:r>
          </w:p>
        </w:tc>
        <w:tc>
          <w:tcPr>
            <w:tcW w:type="dxa" w:w="302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Counselor + administrator</w:t>
            </w:r>
          </w:p>
        </w:tc>
      </w:tr>
      <w:tr>
        <w:trPr>
          <w:cantSplit/>
        </w:trPr>
        <w:tc>
          <w:tcPr>
            <w:tcW w:type="dxa" w:w="244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Fire/severe weather/lockdown</w:t>
            </w:r>
          </w:p>
        </w:tc>
        <w:tc>
          <w:tcPr>
            <w:tcW w:type="dxa" w:w="47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Follow EOP and announcements</w:t>
            </w:r>
          </w:p>
        </w:tc>
        <w:tc>
          <w:tcPr>
            <w:tcW w:type="dxa" w:w="302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Incident command / administration</w:t>
            </w:r>
          </w:p>
        </w:tc>
      </w:tr>
    </w:tbl>
    <w:tbl>
      <w:tblPr>
        <w:tblW w:type="auto" w:w="0"/>
        <w:jc w:val="center"/>
        <w:tblLook w:firstColumn="1" w:firstRow="1" w:lastColumn="0" w:lastRow="0" w:noHBand="0" w:noVBand="1" w:val="04A0"/>
      </w:tblPr>
      <w:tblGrid>
        <w:gridCol w:w="10166"/>
      </w:tblGrid>
      <w:tr>
        <w:tc>
          <w:tcPr>
            <w:tcW w:type="dxa" w:w="10166"/>
            <w:shd w:fill="EAF3EC"/>
            <w:tcBorders>
              <w:left w:val="single" w:sz="18" w:color="6AA84F"/>
            </w:tcBorders>
            <w:tcMar>
              <w:top w:w="90" w:type="dxa"/>
              <w:start w:w="140" w:type="dxa"/>
              <w:bottom w:w="90" w:type="dxa"/>
              <w:end w:w="120" w:type="dxa"/>
            </w:tcMar>
          </w:tcPr>
          <w:p>
            <w:r>
              <w:rPr>
                <w:b/>
                <w:color w:val="0B4B33"/>
              </w:rPr>
              <w:t>REMEMBER</w:t>
            </w:r>
          </w:p>
          <w:p>
            <w:pPr>
              <w:pStyle w:val="SmallNote"/>
            </w:pPr>
            <w:r>
              <w:t>You are never expected to handle a serious safety or behavioral incident alone. Call for administrative support early when a situation exceeds normal classroom management.</w:t>
            </w:r>
          </w:p>
        </w:tc>
      </w:tr>
    </w:tbl>
    <w:sectPr w:rsidR="00FC693F" w:rsidRPr="0006063C" w:rsidSect="00034616">
      <w:headerReference w:type="default" r:id="rId9"/>
      <w:footerReference w:type="default" r:id="rId10"/>
      <w:pgSz w:w="12240" w:h="15840"/>
      <w:pgMar w:top="893"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2D6A4F"/>
        <w:sz w:val="15"/>
      </w:rPr>
      <w:t>ONE SCHOOL. ONE PACK. ONE PURPOSE.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B4B33"/>
        <w:sz w:val="16"/>
      </w:rPr>
      <w:t>EAST GREEN HIGH SCHOOL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color w:val="1E24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B4B33"/>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D6A4F"/>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E24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0B4B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C6861"/>
      <w:sz w:val="16"/>
    </w:rPr>
  </w:style>
  <w:style w:type="paragraph" w:customStyle="1" w:styleId="Compact">
    <w:name w:val="Compact"/>
    <w:pPr>
      <w:spacing w:after="40"/>
    </w:pPr>
    <w:rPr>
      <w:rFonts w:ascii="Aptos" w:hAnsi="Aptos"/>
      <w:color w:val="1E242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