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Liberation Sans" w:hAnsi="Liberation Sans"/>
          <w:b/>
          <w:color w:val="064B2C"/>
          <w:sz w:val="128"/>
        </w:rPr>
        <w:t>EG</w:t>
      </w:r>
    </w:p>
    <w:p>
      <w:pPr>
        <w:jc w:val="center"/>
      </w:pPr>
      <w:r>
        <w:rPr>
          <w:rFonts w:ascii="Liberation Sans" w:hAnsi="Liberation Sans"/>
          <w:b/>
          <w:color w:val="1E1E1E"/>
          <w:sz w:val="36"/>
        </w:rPr>
        <w:t>EAST GREEN HIGH SCHOOL</w:t>
      </w:r>
    </w:p>
    <w:p>
      <w:pPr>
        <w:jc w:val="center"/>
      </w:pPr>
      <w:r>
        <w:rPr>
          <w:rFonts w:ascii="Liberation Sans" w:hAnsi="Liberation Sans"/>
          <w:b/>
          <w:color w:val="064B2C"/>
          <w:sz w:val="58"/>
        </w:rPr>
        <w:t>ATHLETICS &amp; ACTIVITIES HANDBOOK</w:t>
      </w:r>
    </w:p>
    <w:p>
      <w:pPr>
        <w:jc w:val="center"/>
      </w:pPr>
      <w:r>
        <w:rPr>
          <w:rFonts w:ascii="Liberation Sans" w:hAnsi="Liberation Sans"/>
          <w:color w:val="6B7280"/>
          <w:sz w:val="26"/>
        </w:rPr>
        <w:t>Eligibility • Conduct • Supervision • Events • Student Leadership</w:t>
      </w:r>
    </w:p>
    <w:p>
      <w:pPr>
        <w:spacing w:before="480"/>
        <w:jc w:val="center"/>
      </w:pPr>
      <w:r>
        <w:rPr>
          <w:rFonts w:ascii="Liberation Sans" w:hAnsi="Liberation Sans"/>
          <w:b/>
          <w:color w:val="0B6B3A"/>
          <w:sz w:val="24"/>
        </w:rPr>
        <w:t>2026-2027</w:t>
      </w:r>
    </w:p>
    <w:p>
      <w:pPr>
        <w:spacing w:before="1800"/>
        <w:jc w:val="center"/>
      </w:pPr>
      <w:r>
        <w:rPr>
          <w:rFonts w:ascii="Liberation Sans" w:hAnsi="Liberation Sans"/>
          <w:b/>
          <w:color w:val="064B2C"/>
          <w:sz w:val="22"/>
        </w:rPr>
        <w:t>LEARN • LEAD • SUCCEED</w:t>
      </w:r>
    </w:p>
    <w:p>
      <w:r>
        <w:br w:type="page"/>
      </w:r>
    </w:p>
    <w:p>
      <w:pPr>
        <w:pStyle w:val="Heading1"/>
      </w:pPr>
      <w:r>
        <w:t>1. Purpose &amp; Scope</w:t>
      </w:r>
    </w:p>
    <w:p>
      <w:r>
        <w:t>This handbook establishes East Green High School expectations for athletics, clubs, student organizations, performances, competitions, intramurals, and other school-sponsored activities. It is designed to keep programs safe, organized, inclusive, academically responsible, and consistent with the school's broader policies and procedures.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EC"/>
            <w:tcBorders>
              <w:top w:val="single" w:sz="8" w:color="064B2C"/>
              <w:left w:val="single" w:sz="8" w:color="064B2C"/>
              <w:bottom w:val="single" w:sz="8" w:color="064B2C"/>
              <w:right w:val="single" w:sz="8" w:color="064B2C"/>
            </w:tcBorders>
          </w:tcPr>
          <w:p>
            <w:r>
              <w:rPr>
                <w:rFonts w:ascii="Liberation Sans" w:hAnsi="Liberation Sans"/>
                <w:b/>
                <w:color w:val="064B2C"/>
                <w:sz w:val="20"/>
              </w:rPr>
              <w:t>CORE STANDARD</w:t>
              <w:br/>
            </w:r>
            <w:r>
              <w:rPr>
                <w:rFonts w:ascii="Liberation Sans" w:hAnsi="Liberation Sans"/>
                <w:color w:val="1E1E1E"/>
                <w:sz w:val="18"/>
              </w:rPr>
              <w:t>Participation in an East Green activity is a privilege connected to academic progress, attendance, conduct, safety, and responsible representation of the school.</w:t>
            </w:r>
          </w:p>
        </w:tc>
      </w:tr>
    </w:tbl>
    <w:p>
      <w:pPr>
        <w:spacing w:after="20"/>
      </w:pPr>
    </w:p>
    <w:p>
      <w:pPr>
        <w:pStyle w:val="Heading1"/>
      </w:pPr>
      <w:r>
        <w:t>2. Program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7200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Responsibilities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Principal - Dr. Collin Bryant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Final school-level authority; approves major programs, high-impact events, exceptional travel, sanctions, and significant expenditures.</w:t>
            </w:r>
          </w:p>
        </w:tc>
      </w:tr>
      <w:tr>
        <w:tc>
          <w:tcPr>
            <w:tcW w:type="dxa" w:w="2880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AP, Operations &amp; Student Services - Dr. Barnabas Cook</w:t>
            </w:r>
          </w:p>
        </w:tc>
        <w:tc>
          <w:tcPr>
            <w:tcW w:type="dxa" w:w="7200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Primary operational administrator for student activities; coordinates supervision, conduct, safety, facilities, event operations, and activity eligibility concerns.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AP, Curriculum &amp; Instruction - Hiring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Supports academic eligibility, missed-instruction planning, academic competition/course alignment, and coordination when activities affect instruction.</w:t>
            </w:r>
          </w:p>
        </w:tc>
      </w:tr>
      <w:tr>
        <w:tc>
          <w:tcPr>
            <w:tcW w:type="dxa" w:w="2880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Activity Sponsor / Coach</w:t>
            </w:r>
          </w:p>
        </w:tc>
        <w:tc>
          <w:tcPr>
            <w:tcW w:type="dxa" w:w="7200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Directly supervises students, maintains rosters, communicates expectations, documents attendance/eligibility, plans events, and follows safety/facility rules.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School Counselors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Support academic planning, attendance intervention, wellness, and student concerns affecting participation.</w:t>
            </w:r>
          </w:p>
        </w:tc>
      </w:tr>
      <w:tr>
        <w:tc>
          <w:tcPr>
            <w:tcW w:type="dxa" w:w="2880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Students</w:t>
            </w:r>
          </w:p>
        </w:tc>
        <w:tc>
          <w:tcPr>
            <w:tcW w:type="dxa" w:w="7200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Meet eligibility and conduct requirements, attend required meetings/practices, follow directions, care for facilities/equipment, and represent East Green appropriately.</w:t>
            </w:r>
          </w:p>
        </w:tc>
      </w:tr>
    </w:tbl>
    <w:p>
      <w:pPr>
        <w:spacing w:after="20"/>
      </w:pPr>
    </w:p>
    <w:p>
      <w:pPr>
        <w:pStyle w:val="Heading1"/>
      </w:pPr>
      <w:r>
        <w:t>3. Establishing a Club, Team, or Activity</w:t>
      </w:r>
    </w:p>
    <w:p>
      <w:pPr>
        <w:spacing w:after="60"/>
      </w:pPr>
      <w:r>
        <w:rPr>
          <w:b/>
          <w:color w:val="064B2C"/>
        </w:rPr>
        <w:t xml:space="preserve">1. </w:t>
      </w:r>
      <w:r>
        <w:rPr>
          <w:rFonts w:ascii="Liberation Sans" w:hAnsi="Liberation Sans"/>
          <w:sz w:val="20"/>
        </w:rPr>
        <w:t>Secure a qualified staff sponsor/coach who accepts direct supervisory responsibility.</w:t>
      </w:r>
    </w:p>
    <w:p>
      <w:pPr>
        <w:spacing w:after="60"/>
      </w:pPr>
      <w:r>
        <w:rPr>
          <w:b/>
          <w:color w:val="064B2C"/>
        </w:rPr>
        <w:t xml:space="preserve">2. </w:t>
      </w:r>
      <w:r>
        <w:rPr>
          <w:rFonts w:ascii="Liberation Sans" w:hAnsi="Liberation Sans"/>
          <w:sz w:val="20"/>
        </w:rPr>
        <w:t>Submit an Activity/Club Request identifying purpose, membership, meeting schedule, facility needs, anticipated events, and any financial activity.</w:t>
      </w:r>
    </w:p>
    <w:p>
      <w:pPr>
        <w:spacing w:after="60"/>
      </w:pPr>
      <w:r>
        <w:rPr>
          <w:b/>
          <w:color w:val="064B2C"/>
        </w:rPr>
        <w:t xml:space="preserve">3. </w:t>
      </w:r>
      <w:r>
        <w:rPr>
          <w:rFonts w:ascii="Liberation Sans" w:hAnsi="Liberation Sans"/>
          <w:sz w:val="20"/>
        </w:rPr>
        <w:t>Receive administrative approval before recruitment, meetings, tryouts, competitions, fundraising, or public representation of East Green.</w:t>
      </w:r>
    </w:p>
    <w:p>
      <w:pPr>
        <w:spacing w:after="60"/>
      </w:pPr>
      <w:r>
        <w:rPr>
          <w:b/>
          <w:color w:val="064B2C"/>
        </w:rPr>
        <w:t xml:space="preserve">4. </w:t>
      </w:r>
      <w:r>
        <w:rPr>
          <w:rFonts w:ascii="Liberation Sans" w:hAnsi="Liberation Sans"/>
          <w:sz w:val="20"/>
        </w:rPr>
        <w:t>Maintain a current roster and basic operating information each semester.</w:t>
      </w:r>
    </w:p>
    <w:p>
      <w:pPr>
        <w:spacing w:after="60"/>
      </w:pPr>
      <w:r>
        <w:rPr>
          <w:b/>
          <w:color w:val="064B2C"/>
        </w:rPr>
        <w:t xml:space="preserve">5. </w:t>
      </w:r>
      <w:r>
        <w:rPr>
          <w:rFonts w:ascii="Liberation Sans" w:hAnsi="Liberation Sans"/>
          <w:sz w:val="20"/>
        </w:rPr>
        <w:t>Use only approved school communication channels for official activity business.</w:t>
      </w:r>
    </w:p>
    <w:p>
      <w:pPr>
        <w:pStyle w:val="Heading1"/>
      </w:pPr>
      <w:r>
        <w:t>4. Student Eligibility</w:t>
      </w:r>
    </w:p>
    <w:p>
      <w:r>
        <w:t>East Green may apply stricter eligibility rules to specific competitive programs when announced in advance. Unless a program has an approved exception, the following schoolwide framework applies: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84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Minimum Expectation</w:t>
            </w:r>
          </w:p>
        </w:tc>
        <w:tc>
          <w:tcPr>
            <w:tcW w:type="dxa" w:w="2880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Response When Not Met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Enrollment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Student is actively enrolled and assigned to East Green.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Participation paused until enrollment/status is resolved.</w:t>
            </w:r>
          </w:p>
        </w:tc>
      </w:tr>
      <w:tr>
        <w:tc>
          <w:tcPr>
            <w:tcW w:type="dxa" w:w="2016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Academics</w:t>
            </w:r>
          </w:p>
        </w:tc>
        <w:tc>
          <w:tcPr>
            <w:tcW w:type="dxa" w:w="5184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Student is passing a majority of current courses and is not ignoring required intervention.</w:t>
            </w:r>
          </w:p>
        </w:tc>
        <w:tc>
          <w:tcPr>
            <w:tcW w:type="dxa" w:w="2880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Academic warning, required G2 intervention, limited participation, or temporary ineligibility.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Attendance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Student demonstrates regular attendance and participates in required attendance intervention.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Sponsor consults with counselor/Dr. Cook; participation may be limited for unresolved patterns.</w:t>
            </w:r>
          </w:p>
        </w:tc>
      </w:tr>
      <w:tr>
        <w:tc>
          <w:tcPr>
            <w:tcW w:type="dxa" w:w="2016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Conduct</w:t>
            </w:r>
          </w:p>
        </w:tc>
        <w:tc>
          <w:tcPr>
            <w:tcW w:type="dxa" w:w="5184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Student follows the Student Handbook and Code/Discipline Matrix.</w:t>
            </w:r>
          </w:p>
        </w:tc>
        <w:tc>
          <w:tcPr>
            <w:tcW w:type="dxa" w:w="2880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Activity consequence may accompany school discipline when behavior affects safety, team function, or representation.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Required Documentation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All required permissions, emergency contacts, health/participation forms, or program agreements are complete.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No participation in the affected activity until documentation is complete.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F2"/>
            <w:tcBorders>
              <w:top w:val="single" w:sz="8" w:color="A52323"/>
              <w:left w:val="single" w:sz="8" w:color="A52323"/>
              <w:bottom w:val="single" w:sz="8" w:color="A52323"/>
              <w:right w:val="single" w:sz="8" w:color="A52323"/>
            </w:tcBorders>
          </w:tcPr>
          <w:p>
            <w:r>
              <w:rPr>
                <w:rFonts w:ascii="Liberation Sans" w:hAnsi="Liberation Sans"/>
                <w:b/>
                <w:color w:val="A52323"/>
                <w:sz w:val="20"/>
              </w:rPr>
              <w:t>SAME-DAY PARTICIPATION</w:t>
              <w:br/>
            </w:r>
            <w:r>
              <w:rPr>
                <w:rFonts w:ascii="Liberation Sans" w:hAnsi="Liberation Sans"/>
                <w:color w:val="1E1E1E"/>
                <w:sz w:val="18"/>
              </w:rPr>
              <w:t>A student assigned to suspension, removal from campus, or a comparable administrative restriction is not eligible to participate in school activities during the restricted period unless specifically cleared by administration.</w:t>
            </w:r>
          </w:p>
        </w:tc>
      </w:tr>
    </w:tbl>
    <w:p>
      <w:pPr>
        <w:spacing w:after="20"/>
      </w:pPr>
    </w:p>
    <w:p>
      <w:pPr>
        <w:pStyle w:val="Heading1"/>
      </w:pPr>
      <w:r>
        <w:t>5. Attendance at Practices, Meetings &amp; Events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Sponsors maintain reasonable attendance expectations and communicate them before participation begins.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Absences should be reported to the sponsor as early as practical.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Repeated unexplained absence may affect roles, playing time, performance placement, travel, or continued membership.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School academic obligations and required intervention take priority when administration/counseling determines academic support is necessary.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Sponsors should avoid penalizing students for verified emergencies, approved school conflicts, or required school services.</w:t>
      </w:r>
    </w:p>
    <w:p>
      <w:pPr>
        <w:pStyle w:val="Heading1"/>
      </w:pPr>
      <w:r>
        <w:t>6. Conduct &amp; Representation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Follow staff directions and all school conduct expectations at home and away events.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No harassment, hazing, intimidation, retaliation, fighting, discriminatory conduct, or dangerous initiation practices.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Use appropriate language and behavior toward officials, opponents, performers, visitors, staff, and peers.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Do not post confidential, humiliating, threatening, or disruptive activity content through school-affiliated channels.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Protect equipment, uniforms, costumes, technology, facilities, and borrowed materials.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Report safety concerns, injuries, threats, or serious misconduct promptly to the sponsor or administrator.</w:t>
      </w:r>
    </w:p>
    <w:p>
      <w:pPr>
        <w:pStyle w:val="Heading1"/>
      </w:pPr>
      <w:r>
        <w:t>7. Coach/Sponsor Supervision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488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Standard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Active Supervision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Students must be within reasonable staff supervision during meetings, practices, events, travel staging, and dismissal.</w:t>
            </w:r>
          </w:p>
        </w:tc>
      </w:tr>
      <w:tr>
        <w:tc>
          <w:tcPr>
            <w:tcW w:type="dxa" w:w="2592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No Unsupervised Access</w:t>
            </w:r>
          </w:p>
        </w:tc>
        <w:tc>
          <w:tcPr>
            <w:tcW w:type="dxa" w:w="7488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Students may not remain in restricted facilities, labs, backstage areas, athletic spaces, or activity rooms without authorized staff supervision.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Two-Way Accountability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Sponsor knows who is present and students know where/how to reach the supervising adult.</w:t>
            </w:r>
          </w:p>
        </w:tc>
      </w:tr>
      <w:tr>
        <w:tc>
          <w:tcPr>
            <w:tcW w:type="dxa" w:w="2592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Arrival/Dismissal</w:t>
            </w:r>
          </w:p>
        </w:tc>
        <w:tc>
          <w:tcPr>
            <w:tcW w:type="dxa" w:w="7488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Sponsor establishes clear reporting and release procedures and does not leave students without an approved handoff.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Incident Response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Sponsor stabilizes immediate safety, contacts administration/emergency help as required, and completes documentation before leaving when possible.</w:t>
            </w:r>
          </w:p>
        </w:tc>
      </w:tr>
    </w:tbl>
    <w:p>
      <w:pPr>
        <w:spacing w:after="20"/>
      </w:pPr>
    </w:p>
    <w:p>
      <w:pPr>
        <w:pStyle w:val="Heading1"/>
      </w:pPr>
      <w:r>
        <w:t>8. Facilities &amp; Equipment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Reserve spaces through the school facility-use process when required.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Return rooms to instructional condition after use.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Food, equipment, chemicals, tools, athletic gear, stage equipment, and technology must be used only as authorized.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Report damage, missing equipment, hazards, or needed repairs promptly.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Keys/access credentials may not be loaned to students.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Sponsors maintain checkout/return records for high-value or individually assigned property when practical.</w:t>
      </w:r>
    </w:p>
    <w:p>
      <w:pPr>
        <w:pStyle w:val="Heading1"/>
      </w:pPr>
      <w:r>
        <w:t>9. Events, Competitions &amp; Performances</w:t>
      </w:r>
    </w:p>
    <w:p>
      <w:pPr>
        <w:spacing w:after="60"/>
      </w:pPr>
      <w:r>
        <w:rPr>
          <w:b/>
          <w:color w:val="064B2C"/>
        </w:rPr>
        <w:t xml:space="preserve">1. </w:t>
      </w:r>
      <w:r>
        <w:rPr>
          <w:rFonts w:ascii="Liberation Sans" w:hAnsi="Liberation Sans"/>
          <w:sz w:val="20"/>
        </w:rPr>
        <w:t>Submit the event request and confirm date, location, supervision, equipment, and any visitor/public access needs.</w:t>
      </w:r>
    </w:p>
    <w:p>
      <w:pPr>
        <w:spacing w:after="60"/>
      </w:pPr>
      <w:r>
        <w:rPr>
          <w:b/>
          <w:color w:val="064B2C"/>
        </w:rPr>
        <w:t xml:space="preserve">2. </w:t>
      </w:r>
      <w:r>
        <w:rPr>
          <w:rFonts w:ascii="Liberation Sans" w:hAnsi="Liberation Sans"/>
          <w:sz w:val="20"/>
        </w:rPr>
        <w:t>Coordinate conflicts with the school calendar and instructional schedule.</w:t>
      </w:r>
    </w:p>
    <w:p>
      <w:pPr>
        <w:spacing w:after="60"/>
      </w:pPr>
      <w:r>
        <w:rPr>
          <w:b/>
          <w:color w:val="064B2C"/>
        </w:rPr>
        <w:t xml:space="preserve">3. </w:t>
      </w:r>
      <w:r>
        <w:rPr>
          <w:rFonts w:ascii="Liberation Sans" w:hAnsi="Liberation Sans"/>
          <w:sz w:val="20"/>
        </w:rPr>
        <w:t>Establish student roster, arrival time, supervision plan, and dismissal/release plan.</w:t>
      </w:r>
    </w:p>
    <w:p>
      <w:pPr>
        <w:spacing w:after="60"/>
      </w:pPr>
      <w:r>
        <w:rPr>
          <w:b/>
          <w:color w:val="064B2C"/>
        </w:rPr>
        <w:t xml:space="preserve">4. </w:t>
      </w:r>
      <w:r>
        <w:rPr>
          <w:rFonts w:ascii="Liberation Sans" w:hAnsi="Liberation Sans"/>
          <w:sz w:val="20"/>
        </w:rPr>
        <w:t>Confirm emergency information and communication methods.</w:t>
      </w:r>
    </w:p>
    <w:p>
      <w:pPr>
        <w:spacing w:after="60"/>
      </w:pPr>
      <w:r>
        <w:rPr>
          <w:b/>
          <w:color w:val="064B2C"/>
        </w:rPr>
        <w:t xml:space="preserve">5. </w:t>
      </w:r>
      <w:r>
        <w:rPr>
          <w:rFonts w:ascii="Liberation Sans" w:hAnsi="Liberation Sans"/>
          <w:sz w:val="20"/>
        </w:rPr>
        <w:t>For public events, identify entrance/visitor flow, restricted areas, and staff responsible for crowd/student supervision.</w:t>
      </w:r>
    </w:p>
    <w:p>
      <w:pPr>
        <w:spacing w:after="60"/>
      </w:pPr>
      <w:r>
        <w:rPr>
          <w:b/>
          <w:color w:val="064B2C"/>
        </w:rPr>
        <w:t xml:space="preserve">6. </w:t>
      </w:r>
      <w:r>
        <w:rPr>
          <w:rFonts w:ascii="Liberation Sans" w:hAnsi="Liberation Sans"/>
          <w:sz w:val="20"/>
        </w:rPr>
        <w:t>After the event, report significant incidents, facility concerns, injuries, and any follow-up required.</w:t>
      </w:r>
    </w:p>
    <w:p>
      <w:pPr>
        <w:pStyle w:val="Heading1"/>
      </w:pPr>
      <w:r>
        <w:t>10. Travel &amp; Off-Campus Activities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Travel requires prior administrative approval and all required student permissions.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A verified roster and emergency contact information travel with the supervising staff.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Students remain subject to East Green conduct expectations throughout travel.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Sponsors establish head-count/accountability points at departure, arrival, transitions, and return.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No student may leave the group with an unauthorized person.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Any vehicle/transportation arrangement must be specifically approved through school procedures.</w:t>
      </w:r>
    </w:p>
    <w:p>
      <w:pPr>
        <w:pStyle w:val="Heading1"/>
      </w:pPr>
      <w:r>
        <w:t>11. Health, Injury &amp; Emergency Response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Stop participation when a student appears seriously injured or medically unsafe.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Contact emergency services when delay could create additional risk.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Follow the Emergency Operations Plan and emergency quick-reference guidance.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Notify administration and parent/guardian as appropriate.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Complete the Student Accident/Injury Report or other required documentation.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Return-to-participation decisions must follow any applicable school or medical restrictions.</w:t>
      </w:r>
    </w:p>
    <w:p>
      <w:pPr>
        <w:pStyle w:val="Heading1"/>
      </w:pPr>
      <w:r>
        <w:t>12. Student Leadership &amp; Officers</w:t>
      </w:r>
    </w:p>
    <w:p>
      <w:r>
        <w:t>Clubs may use student officers where appropriate. Officers do not replace the sponsor's responsibility for supervision, safety, money, records, event approval, or enforcement of school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Suggested Office</w:t>
            </w:r>
          </w:p>
        </w:tc>
        <w:tc>
          <w:tcPr>
            <w:tcW w:type="dxa" w:w="7200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Typical Duties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President / Captain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Leads meetings, models expectations, coordinates with sponsor, supports team/club culture.</w:t>
            </w:r>
          </w:p>
        </w:tc>
      </w:tr>
      <w:tr>
        <w:tc>
          <w:tcPr>
            <w:tcW w:type="dxa" w:w="2880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Vice President / Co-Captain</w:t>
            </w:r>
          </w:p>
        </w:tc>
        <w:tc>
          <w:tcPr>
            <w:tcW w:type="dxa" w:w="7200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Supports leadership and fills in when needed.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Secretary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Maintains meeting notes, attendance, plans, or activity records.</w:t>
            </w:r>
          </w:p>
        </w:tc>
      </w:tr>
      <w:tr>
        <w:tc>
          <w:tcPr>
            <w:tcW w:type="dxa" w:w="2880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Treasurer (if used)</w:t>
            </w:r>
          </w:p>
        </w:tc>
        <w:tc>
          <w:tcPr>
            <w:tcW w:type="dxa" w:w="7200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Assists with approved tracking under staff control; students do not independently hold or disburse school funds.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Communications Lead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Drafts approved announcements/content; sponsor reviews before publication.</w:t>
            </w:r>
          </w:p>
        </w:tc>
      </w:tr>
    </w:tbl>
    <w:p>
      <w:pPr>
        <w:spacing w:after="20"/>
      </w:pPr>
    </w:p>
    <w:p>
      <w:pPr>
        <w:pStyle w:val="Heading1"/>
      </w:pPr>
      <w:r>
        <w:t>13. Fundraising, Purchases &amp; Money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No fundraising begins without administrative approval.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All collections, purchases, reimbursements, and inventory activity follow school financial procedures.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Students do not independently control school funds or payment accounts.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Sponsors retain receipts and documentation required by the purchasing/requisition process.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Fundraisers must not create coercive participation, unsafe conditions, or misleading claims.</w:t>
      </w:r>
    </w:p>
    <w:p>
      <w:pPr>
        <w:pStyle w:val="Heading1"/>
      </w:pPr>
      <w:r>
        <w:t>14. Activity Discipline &amp; Removal</w:t>
      </w:r>
    </w:p>
    <w:p>
      <w:r>
        <w:t>Activity consequences are separate from, but may occur alongside, school discipline. Sponsors may use reasonable progressive consequences for activity-specific expectations; major, repeated, or safety-related concerns must be referred to administration.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7056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Typical Activity Response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Minor first concern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Private correction, reminder, restorative action, or sponsor conference.</w:t>
            </w:r>
          </w:p>
        </w:tc>
      </w:tr>
      <w:tr>
        <w:tc>
          <w:tcPr>
            <w:tcW w:type="dxa" w:w="3024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Repeated minor concern</w:t>
            </w:r>
          </w:p>
        </w:tc>
        <w:tc>
          <w:tcPr>
            <w:tcW w:type="dxa" w:w="7056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Parent/guardian contact, written expectation, temporary role/participation restriction.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Academic/attendance concern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Required intervention plan; participation conditions coordinated with counselor/admin.</w:t>
            </w:r>
          </w:p>
        </w:tc>
      </w:tr>
      <w:tr>
        <w:tc>
          <w:tcPr>
            <w:tcW w:type="dxa" w:w="3024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Major misconduct / safety issue</w:t>
            </w:r>
          </w:p>
        </w:tc>
        <w:tc>
          <w:tcPr>
            <w:tcW w:type="dxa" w:w="7056"/>
            <w:shd w:fill="F5F8F5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Immediate removal from activity setting and administrative referral.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Persistent or severe violation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Probation, suspension from activity, or removal from program following administrative review.</w:t>
            </w:r>
          </w:p>
        </w:tc>
      </w:tr>
    </w:tbl>
    <w:p>
      <w:pPr>
        <w:spacing w:after="20"/>
      </w:pPr>
    </w:p>
    <w:p>
      <w:pPr>
        <w:pStyle w:val="Heading1"/>
      </w:pPr>
      <w:r>
        <w:t>15. Green Day &amp; Activities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G3 is the preferred block for recurring clubs, pathways, enrichment, rehearsals, and student organizations.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G4 may support extended rehearsals, competitions, showcases, make-up activity work, or special events when approved.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Students assigned to mandatory G2 intervention must complete the academic assignment before optional activity participation when schedules conflict.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Green Day attendance and location changes must be traceable through the school's assigned roster/process.</w:t>
      </w:r>
    </w:p>
    <w:p>
      <w:pPr>
        <w:pStyle w:val="Heading1"/>
      </w:pPr>
      <w:r>
        <w:t>16. Quick Sponsor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3384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During</w:t>
            </w:r>
          </w:p>
        </w:tc>
        <w:tc>
          <w:tcPr>
            <w:tcW w:type="dxa" w:w="3384"/>
            <w:shd w:fill="064B2C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After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Approval; roster; room; permissions; emergency contacts; equipment; communications; supervision assignments.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Take attendance; actively supervise; enforce boundaries; maintain accountability; address hazards immediately.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Liberation Sans" w:hAnsi="Liberation Sans"/>
                <w:color w:val="1E1E1E"/>
                <w:sz w:val="17"/>
              </w:rPr>
              <w:t>Release students safely; restore space; secure equipment; document incidents/injuries; report follow-up needs.</w:t>
            </w:r>
          </w:p>
        </w:tc>
      </w:tr>
    </w:tbl>
    <w:p>
      <w:pPr>
        <w:spacing w:after="20"/>
      </w:pPr>
    </w:p>
    <w:p>
      <w:pPr>
        <w:pStyle w:val="Heading1"/>
      </w:pPr>
      <w:r>
        <w:t>17. Related East Green Documents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Student Handbook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Policies &amp; Procedures Manual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Emergency Operations Plan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Official Forms Packet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Faculty Duty &amp; Supervision Roster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Discipline Matrix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Attendance Intervention Matrix</w:t>
      </w:r>
    </w:p>
    <w:p>
      <w:pPr>
        <w:pStyle w:val="ListBullet"/>
        <w:keepNext w:val="0"/>
        <w:spacing w:after="40"/>
      </w:pPr>
      <w:r>
        <w:rPr>
          <w:rFonts w:ascii="Liberation Sans" w:hAnsi="Liberation Sans"/>
          <w:sz w:val="20"/>
        </w:rPr>
        <w:t>Parent &amp; Student Orientation Packet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b/>
        <w:color w:val="064B2C"/>
        <w:sz w:val="16"/>
      </w:rPr>
      <w:t>ONE SCHOOL. ONE PACK. ONE PURPOSE.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B7280"/>
        <w:sz w:val="16"/>
      </w:rPr>
      <w:t>EAST GREEN HIGH SCHOOL  |  Athletics &amp; Activities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64B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B6B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E1E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64B2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