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Calibri" w:hAnsi="Calibri"/>
          <w:b/>
          <w:color w:val="1B365D"/>
          <w:sz w:val="40"/>
        </w:rPr>
        <w:t>BÁO CÁO KIẾN TRÚC VÀ ĐƯỜNG ỐNG DỮ LIỆU</w:t>
        <w:br/>
        <w:t>(DATA PIPELINE &amp; DATA WAREHOUSE)</w:t>
      </w:r>
    </w:p>
    <w:p>
      <w:pPr>
        <w:spacing w:after="360"/>
        <w:jc w:val="center"/>
      </w:pPr>
      <w:r>
        <w:rPr>
          <w:rFonts w:ascii="Calibri" w:hAnsi="Calibri"/>
          <w:i/>
          <w:color w:val="4A777A"/>
          <w:sz w:val="26"/>
        </w:rPr>
        <w:t>Chi tiết các nội dung Kỹ thuật: Từ Mục 4 đến Mục 10</w:t>
        <w:br/>
        <w:t>Hệ thống Bán lẻ &amp; Thương mại Điện tử</w:t>
      </w:r>
    </w:p>
    <w:p>
      <w:pPr>
        <w:keepNext/>
        <w:spacing w:before="320" w:after="120"/>
      </w:pPr>
      <w:r>
        <w:rPr>
          <w:rFonts w:ascii="Calibri" w:hAnsi="Calibri"/>
          <w:b/>
          <w:color w:val="1B365D"/>
          <w:sz w:val="30"/>
        </w:rPr>
        <w:t>4. MÔ TẢ TỔNG QUAN DỮ LIỆU (DATA OVERVIEW)</w:t>
      </w:r>
    </w:p>
    <w:p>
      <w:pPr>
        <w:spacing w:before="0" w:after="80" w:line="276" w:lineRule="auto"/>
      </w:pPr>
      <w:r>
        <w:rPr>
          <w:rFonts w:ascii="Calibri" w:hAnsi="Calibri"/>
          <w:i w:val="0"/>
          <w:color w:val="333333"/>
          <w:sz w:val="22"/>
        </w:rPr>
        <w:t>Hệ thống dữ liệu tiếp nhận và xử lý 4 tập dữ liệu nguồn (Data Assets) chính phục vụ toàn bộ nhu cầu phân tích vận hành, bán hàng, tồn kho và trải nghiệm khách hàng:</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728"/>
            <w:shd w:fill="1B365D"/>
            <w:tcMar>
              <w:top w:w="100" w:type="dxa"/>
              <w:bottom w:w="100" w:type="dxa"/>
              <w:left w:w="150" w:type="dxa"/>
              <w:right w:w="150" w:type="dxa"/>
            </w:tcMar>
          </w:tcPr>
          <w:p>
            <w:pPr>
              <w:jc w:val="center"/>
            </w:pPr>
            <w:r>
              <w:rPr>
                <w:rFonts w:ascii="Calibri" w:hAnsi="Calibri"/>
                <w:b/>
                <w:color w:val="FFFFFF"/>
              </w:rPr>
              <w:t>Tên bảng</w:t>
            </w:r>
          </w:p>
        </w:tc>
        <w:tc>
          <w:tcPr>
            <w:tcW w:type="dxa" w:w="1584"/>
            <w:shd w:fill="1B365D"/>
            <w:tcMar>
              <w:top w:w="100" w:type="dxa"/>
              <w:bottom w:w="100" w:type="dxa"/>
              <w:left w:w="150" w:type="dxa"/>
              <w:right w:w="150" w:type="dxa"/>
            </w:tcMar>
          </w:tcPr>
          <w:p>
            <w:pPr>
              <w:jc w:val="center"/>
            </w:pPr>
            <w:r>
              <w:rPr>
                <w:rFonts w:ascii="Calibri" w:hAnsi="Calibri"/>
                <w:b/>
                <w:color w:val="FFFFFF"/>
              </w:rPr>
              <w:t>Số dòng (Rows)</w:t>
            </w:r>
          </w:p>
        </w:tc>
        <w:tc>
          <w:tcPr>
            <w:tcW w:type="dxa" w:w="1296"/>
            <w:shd w:fill="1B365D"/>
            <w:tcMar>
              <w:top w:w="100" w:type="dxa"/>
              <w:bottom w:w="100" w:type="dxa"/>
              <w:left w:w="150" w:type="dxa"/>
              <w:right w:w="150" w:type="dxa"/>
            </w:tcMar>
          </w:tcPr>
          <w:p>
            <w:pPr>
              <w:jc w:val="center"/>
            </w:pPr>
            <w:r>
              <w:rPr>
                <w:rFonts w:ascii="Calibri" w:hAnsi="Calibri"/>
                <w:b/>
                <w:color w:val="FFFFFF"/>
              </w:rPr>
              <w:t>Số cột (Cols)</w:t>
            </w:r>
          </w:p>
        </w:tc>
        <w:tc>
          <w:tcPr>
            <w:tcW w:type="dxa" w:w="2160"/>
            <w:shd w:fill="1B365D"/>
            <w:tcMar>
              <w:top w:w="100" w:type="dxa"/>
              <w:bottom w:w="100" w:type="dxa"/>
              <w:left w:w="150" w:type="dxa"/>
              <w:right w:w="150" w:type="dxa"/>
            </w:tcMar>
          </w:tcPr>
          <w:p>
            <w:pPr>
              <w:jc w:val="center"/>
            </w:pPr>
            <w:r>
              <w:rPr>
                <w:rFonts w:ascii="Calibri" w:hAnsi="Calibri"/>
                <w:b/>
                <w:color w:val="FFFFFF"/>
              </w:rPr>
              <w:t>Khoảng thời gian</w:t>
            </w:r>
          </w:p>
        </w:tc>
        <w:tc>
          <w:tcPr>
            <w:tcW w:type="dxa" w:w="1296"/>
            <w:shd w:fill="1B365D"/>
            <w:tcMar>
              <w:top w:w="100" w:type="dxa"/>
              <w:bottom w:w="100" w:type="dxa"/>
              <w:left w:w="150" w:type="dxa"/>
              <w:right w:w="150" w:type="dxa"/>
            </w:tcMar>
          </w:tcPr>
          <w:p>
            <w:pPr>
              <w:jc w:val="center"/>
            </w:pPr>
            <w:r>
              <w:rPr>
                <w:rFonts w:ascii="Calibri" w:hAnsi="Calibri"/>
                <w:b/>
                <w:color w:val="FFFFFF"/>
              </w:rPr>
              <w:t>Tần suất</w:t>
            </w:r>
          </w:p>
        </w:tc>
        <w:tc>
          <w:tcPr>
            <w:tcW w:type="dxa" w:w="1584"/>
            <w:shd w:fill="1B365D"/>
            <w:tcMar>
              <w:top w:w="100" w:type="dxa"/>
              <w:bottom w:w="100" w:type="dxa"/>
              <w:left w:w="150" w:type="dxa"/>
              <w:right w:w="150" w:type="dxa"/>
            </w:tcMar>
          </w:tcPr>
          <w:p>
            <w:pPr>
              <w:jc w:val="center"/>
            </w:pPr>
            <w:r>
              <w:rPr>
                <w:rFonts w:ascii="Calibri" w:hAnsi="Calibri"/>
                <w:b/>
                <w:color w:val="FFFFFF"/>
              </w:rPr>
              <w:t>Tầng lưu trữ</w:t>
            </w:r>
          </w:p>
        </w:tc>
      </w:tr>
      <w:tr>
        <w:tc>
          <w:tcPr>
            <w:tcW w:type="dxa" w:w="1728"/>
            <w:shd w:fill="FFFFFF"/>
            <w:tcMar>
              <w:top w:w="100" w:type="dxa"/>
              <w:bottom w:w="100" w:type="dxa"/>
              <w:left w:w="150" w:type="dxa"/>
              <w:right w:w="150" w:type="dxa"/>
            </w:tcMar>
          </w:tcPr>
          <w:p>
            <w:r>
              <w:rPr>
                <w:rFonts w:ascii="Calibri" w:hAnsi="Calibri"/>
                <w:sz w:val="20"/>
              </w:rPr>
              <w:t>web_traffic</w:t>
            </w:r>
          </w:p>
        </w:tc>
        <w:tc>
          <w:tcPr>
            <w:tcW w:type="dxa" w:w="1584"/>
            <w:shd w:fill="FFFFFF"/>
            <w:tcMar>
              <w:top w:w="100" w:type="dxa"/>
              <w:bottom w:w="100" w:type="dxa"/>
              <w:left w:w="150" w:type="dxa"/>
              <w:right w:w="150" w:type="dxa"/>
            </w:tcMar>
          </w:tcPr>
          <w:p>
            <w:pPr>
              <w:jc w:val="center"/>
            </w:pPr>
            <w:r>
              <w:rPr>
                <w:rFonts w:ascii="Calibri" w:hAnsi="Calibri"/>
                <w:sz w:val="20"/>
              </w:rPr>
              <w:t>3,652</w:t>
            </w:r>
          </w:p>
        </w:tc>
        <w:tc>
          <w:tcPr>
            <w:tcW w:type="dxa" w:w="1296"/>
            <w:shd w:fill="FFFFFF"/>
            <w:tcMar>
              <w:top w:w="100" w:type="dxa"/>
              <w:bottom w:w="100" w:type="dxa"/>
              <w:left w:w="150" w:type="dxa"/>
              <w:right w:w="150" w:type="dxa"/>
            </w:tcMar>
          </w:tcPr>
          <w:p>
            <w:pPr>
              <w:jc w:val="center"/>
            </w:pPr>
            <w:r>
              <w:rPr>
                <w:rFonts w:ascii="Calibri" w:hAnsi="Calibri"/>
                <w:sz w:val="20"/>
              </w:rPr>
              <w:t>8</w:t>
            </w:r>
          </w:p>
        </w:tc>
        <w:tc>
          <w:tcPr>
            <w:tcW w:type="dxa" w:w="2160"/>
            <w:shd w:fill="FFFFFF"/>
            <w:tcMar>
              <w:top w:w="100" w:type="dxa"/>
              <w:bottom w:w="100" w:type="dxa"/>
              <w:left w:w="150" w:type="dxa"/>
              <w:right w:w="150" w:type="dxa"/>
            </w:tcMar>
          </w:tcPr>
          <w:p>
            <w:r>
              <w:rPr>
                <w:rFonts w:ascii="Calibri" w:hAnsi="Calibri"/>
                <w:sz w:val="20"/>
              </w:rPr>
              <w:t>01/01/2013 - 31/12/2022</w:t>
            </w:r>
          </w:p>
        </w:tc>
        <w:tc>
          <w:tcPr>
            <w:tcW w:type="dxa" w:w="1296"/>
            <w:shd w:fill="FFFFFF"/>
            <w:tcMar>
              <w:top w:w="100" w:type="dxa"/>
              <w:bottom w:w="100" w:type="dxa"/>
              <w:left w:w="150" w:type="dxa"/>
              <w:right w:w="150" w:type="dxa"/>
            </w:tcMar>
          </w:tcPr>
          <w:p>
            <w:pPr>
              <w:jc w:val="center"/>
            </w:pPr>
            <w:r>
              <w:rPr>
                <w:rFonts w:ascii="Calibri" w:hAnsi="Calibri"/>
                <w:sz w:val="20"/>
              </w:rPr>
              <w:t>Hàng ngày</w:t>
            </w:r>
          </w:p>
        </w:tc>
        <w:tc>
          <w:tcPr>
            <w:tcW w:type="dxa" w:w="1584"/>
            <w:shd w:fill="FFFFFF"/>
            <w:tcMar>
              <w:top w:w="100" w:type="dxa"/>
              <w:bottom w:w="100" w:type="dxa"/>
              <w:left w:w="150" w:type="dxa"/>
              <w:right w:w="150" w:type="dxa"/>
            </w:tcMar>
          </w:tcPr>
          <w:p>
            <w:r>
              <w:rPr>
                <w:rFonts w:ascii="Calibri" w:hAnsi="Calibri"/>
                <w:sz w:val="20"/>
              </w:rPr>
              <w:t>raw -&gt; silver</w:t>
            </w:r>
          </w:p>
        </w:tc>
      </w:tr>
      <w:tr>
        <w:tc>
          <w:tcPr>
            <w:tcW w:type="dxa" w:w="1728"/>
            <w:shd w:fill="F2F4F7"/>
            <w:tcMar>
              <w:top w:w="100" w:type="dxa"/>
              <w:bottom w:w="100" w:type="dxa"/>
              <w:left w:w="150" w:type="dxa"/>
              <w:right w:w="150" w:type="dxa"/>
            </w:tcMar>
          </w:tcPr>
          <w:p>
            <w:r>
              <w:rPr>
                <w:rFonts w:ascii="Calibri" w:hAnsi="Calibri"/>
                <w:sz w:val="20"/>
              </w:rPr>
              <w:t>inventory</w:t>
            </w:r>
          </w:p>
        </w:tc>
        <w:tc>
          <w:tcPr>
            <w:tcW w:type="dxa" w:w="1584"/>
            <w:shd w:fill="F2F4F7"/>
            <w:tcMar>
              <w:top w:w="100" w:type="dxa"/>
              <w:bottom w:w="100" w:type="dxa"/>
              <w:left w:w="150" w:type="dxa"/>
              <w:right w:w="150" w:type="dxa"/>
            </w:tcMar>
          </w:tcPr>
          <w:p>
            <w:pPr>
              <w:jc w:val="center"/>
            </w:pPr>
            <w:r>
              <w:rPr>
                <w:rFonts w:ascii="Calibri" w:hAnsi="Calibri"/>
                <w:sz w:val="20"/>
              </w:rPr>
              <w:t>60,247</w:t>
            </w:r>
          </w:p>
        </w:tc>
        <w:tc>
          <w:tcPr>
            <w:tcW w:type="dxa" w:w="1296"/>
            <w:shd w:fill="F2F4F7"/>
            <w:tcMar>
              <w:top w:w="100" w:type="dxa"/>
              <w:bottom w:w="100" w:type="dxa"/>
              <w:left w:w="150" w:type="dxa"/>
              <w:right w:w="150" w:type="dxa"/>
            </w:tcMar>
          </w:tcPr>
          <w:p>
            <w:pPr>
              <w:jc w:val="center"/>
            </w:pPr>
            <w:r>
              <w:rPr>
                <w:rFonts w:ascii="Calibri" w:hAnsi="Calibri"/>
                <w:sz w:val="20"/>
              </w:rPr>
              <w:t>25</w:t>
            </w:r>
          </w:p>
        </w:tc>
        <w:tc>
          <w:tcPr>
            <w:tcW w:type="dxa" w:w="2160"/>
            <w:shd w:fill="F2F4F7"/>
            <w:tcMar>
              <w:top w:w="100" w:type="dxa"/>
              <w:bottom w:w="100" w:type="dxa"/>
              <w:left w:w="150" w:type="dxa"/>
              <w:right w:w="150" w:type="dxa"/>
            </w:tcMar>
          </w:tcPr>
          <w:p>
            <w:r>
              <w:rPr>
                <w:rFonts w:ascii="Calibri" w:hAnsi="Calibri"/>
                <w:sz w:val="20"/>
              </w:rPr>
              <w:t>31/07/2012 - 31/12/2022</w:t>
            </w:r>
          </w:p>
        </w:tc>
        <w:tc>
          <w:tcPr>
            <w:tcW w:type="dxa" w:w="1296"/>
            <w:shd w:fill="F2F4F7"/>
            <w:tcMar>
              <w:top w:w="100" w:type="dxa"/>
              <w:bottom w:w="100" w:type="dxa"/>
              <w:left w:w="150" w:type="dxa"/>
              <w:right w:w="150" w:type="dxa"/>
            </w:tcMar>
          </w:tcPr>
          <w:p>
            <w:pPr>
              <w:jc w:val="center"/>
            </w:pPr>
            <w:r>
              <w:rPr>
                <w:rFonts w:ascii="Calibri" w:hAnsi="Calibri"/>
                <w:sz w:val="20"/>
              </w:rPr>
              <w:t>Hàng tháng</w:t>
            </w:r>
          </w:p>
        </w:tc>
        <w:tc>
          <w:tcPr>
            <w:tcW w:type="dxa" w:w="1584"/>
            <w:shd w:fill="F2F4F7"/>
            <w:tcMar>
              <w:top w:w="100" w:type="dxa"/>
              <w:bottom w:w="100" w:type="dxa"/>
              <w:left w:w="150" w:type="dxa"/>
              <w:right w:w="150" w:type="dxa"/>
            </w:tcMar>
          </w:tcPr>
          <w:p>
            <w:r>
              <w:rPr>
                <w:rFonts w:ascii="Calibri" w:hAnsi="Calibri"/>
                <w:sz w:val="20"/>
              </w:rPr>
              <w:t>raw -&gt; silver</w:t>
            </w:r>
          </w:p>
        </w:tc>
      </w:tr>
      <w:tr>
        <w:tc>
          <w:tcPr>
            <w:tcW w:type="dxa" w:w="1728"/>
            <w:shd w:fill="FFFFFF"/>
            <w:tcMar>
              <w:top w:w="100" w:type="dxa"/>
              <w:bottom w:w="100" w:type="dxa"/>
              <w:left w:w="150" w:type="dxa"/>
              <w:right w:w="150" w:type="dxa"/>
            </w:tcMar>
          </w:tcPr>
          <w:p>
            <w:r>
              <w:rPr>
                <w:rFonts w:ascii="Calibri" w:hAnsi="Calibri"/>
                <w:sz w:val="20"/>
              </w:rPr>
              <w:t>reviews</w:t>
            </w:r>
          </w:p>
        </w:tc>
        <w:tc>
          <w:tcPr>
            <w:tcW w:type="dxa" w:w="1584"/>
            <w:shd w:fill="FFFFFF"/>
            <w:tcMar>
              <w:top w:w="100" w:type="dxa"/>
              <w:bottom w:w="100" w:type="dxa"/>
              <w:left w:w="150" w:type="dxa"/>
              <w:right w:w="150" w:type="dxa"/>
            </w:tcMar>
          </w:tcPr>
          <w:p>
            <w:pPr>
              <w:jc w:val="center"/>
            </w:pPr>
            <w:r>
              <w:rPr>
                <w:rFonts w:ascii="Calibri" w:hAnsi="Calibri"/>
                <w:sz w:val="20"/>
              </w:rPr>
              <w:t>714,653</w:t>
            </w:r>
          </w:p>
        </w:tc>
        <w:tc>
          <w:tcPr>
            <w:tcW w:type="dxa" w:w="1296"/>
            <w:shd w:fill="FFFFFF"/>
            <w:tcMar>
              <w:top w:w="100" w:type="dxa"/>
              <w:bottom w:w="100" w:type="dxa"/>
              <w:left w:w="150" w:type="dxa"/>
              <w:right w:w="150" w:type="dxa"/>
            </w:tcMar>
          </w:tcPr>
          <w:p>
            <w:pPr>
              <w:jc w:val="center"/>
            </w:pPr>
            <w:r>
              <w:rPr>
                <w:rFonts w:ascii="Calibri" w:hAnsi="Calibri"/>
                <w:sz w:val="20"/>
              </w:rPr>
              <w:t>6</w:t>
            </w:r>
          </w:p>
        </w:tc>
        <w:tc>
          <w:tcPr>
            <w:tcW w:type="dxa" w:w="2160"/>
            <w:shd w:fill="FFFFFF"/>
            <w:tcMar>
              <w:top w:w="100" w:type="dxa"/>
              <w:bottom w:w="100" w:type="dxa"/>
              <w:left w:w="150" w:type="dxa"/>
              <w:right w:w="150" w:type="dxa"/>
            </w:tcMar>
          </w:tcPr>
          <w:p>
            <w:r>
              <w:rPr>
                <w:rFonts w:ascii="Calibri" w:hAnsi="Calibri"/>
                <w:sz w:val="20"/>
              </w:rPr>
              <w:t>10/07/2012 - 20/08/2012</w:t>
            </w:r>
          </w:p>
        </w:tc>
        <w:tc>
          <w:tcPr>
            <w:tcW w:type="dxa" w:w="1296"/>
            <w:shd w:fill="FFFFFF"/>
            <w:tcMar>
              <w:top w:w="100" w:type="dxa"/>
              <w:bottom w:w="100" w:type="dxa"/>
              <w:left w:w="150" w:type="dxa"/>
              <w:right w:w="150" w:type="dxa"/>
            </w:tcMar>
          </w:tcPr>
          <w:p>
            <w:pPr>
              <w:jc w:val="center"/>
            </w:pPr>
            <w:r>
              <w:rPr>
                <w:rFonts w:ascii="Calibri" w:hAnsi="Calibri"/>
                <w:sz w:val="20"/>
              </w:rPr>
              <w:t>Batch / Event</w:t>
            </w:r>
          </w:p>
        </w:tc>
        <w:tc>
          <w:tcPr>
            <w:tcW w:type="dxa" w:w="1584"/>
            <w:shd w:fill="FFFFFF"/>
            <w:tcMar>
              <w:top w:w="100" w:type="dxa"/>
              <w:bottom w:w="100" w:type="dxa"/>
              <w:left w:w="150" w:type="dxa"/>
              <w:right w:w="150" w:type="dxa"/>
            </w:tcMar>
          </w:tcPr>
          <w:p>
            <w:r>
              <w:rPr>
                <w:rFonts w:ascii="Calibri" w:hAnsi="Calibri"/>
                <w:sz w:val="20"/>
              </w:rPr>
              <w:t>raw -&gt; silver</w:t>
            </w:r>
          </w:p>
        </w:tc>
      </w:tr>
      <w:tr>
        <w:tc>
          <w:tcPr>
            <w:tcW w:type="dxa" w:w="1728"/>
            <w:shd w:fill="F2F4F7"/>
            <w:tcMar>
              <w:top w:w="100" w:type="dxa"/>
              <w:bottom w:w="100" w:type="dxa"/>
              <w:left w:w="150" w:type="dxa"/>
              <w:right w:w="150" w:type="dxa"/>
            </w:tcMar>
          </w:tcPr>
          <w:p>
            <w:r>
              <w:rPr>
                <w:rFonts w:ascii="Calibri" w:hAnsi="Calibri"/>
                <w:sz w:val="20"/>
              </w:rPr>
              <w:t>returns</w:t>
            </w:r>
          </w:p>
        </w:tc>
        <w:tc>
          <w:tcPr>
            <w:tcW w:type="dxa" w:w="1584"/>
            <w:shd w:fill="F2F4F7"/>
            <w:tcMar>
              <w:top w:w="100" w:type="dxa"/>
              <w:bottom w:w="100" w:type="dxa"/>
              <w:left w:w="150" w:type="dxa"/>
              <w:right w:w="150" w:type="dxa"/>
            </w:tcMar>
          </w:tcPr>
          <w:p>
            <w:pPr>
              <w:jc w:val="center"/>
            </w:pPr>
            <w:r>
              <w:rPr>
                <w:rFonts w:ascii="Calibri" w:hAnsi="Calibri"/>
                <w:sz w:val="20"/>
              </w:rPr>
              <w:t>35,733</w:t>
            </w:r>
          </w:p>
        </w:tc>
        <w:tc>
          <w:tcPr>
            <w:tcW w:type="dxa" w:w="1296"/>
            <w:shd w:fill="F2F4F7"/>
            <w:tcMar>
              <w:top w:w="100" w:type="dxa"/>
              <w:bottom w:w="100" w:type="dxa"/>
              <w:left w:w="150" w:type="dxa"/>
              <w:right w:w="150" w:type="dxa"/>
            </w:tcMar>
          </w:tcPr>
          <w:p>
            <w:pPr>
              <w:jc w:val="center"/>
            </w:pPr>
            <w:r>
              <w:rPr>
                <w:rFonts w:ascii="Calibri" w:hAnsi="Calibri"/>
                <w:sz w:val="20"/>
              </w:rPr>
              <w:t>7</w:t>
            </w:r>
          </w:p>
        </w:tc>
        <w:tc>
          <w:tcPr>
            <w:tcW w:type="dxa" w:w="2160"/>
            <w:shd w:fill="F2F4F7"/>
            <w:tcMar>
              <w:top w:w="100" w:type="dxa"/>
              <w:bottom w:w="100" w:type="dxa"/>
              <w:left w:w="150" w:type="dxa"/>
              <w:right w:w="150" w:type="dxa"/>
            </w:tcMar>
          </w:tcPr>
          <w:p>
            <w:r>
              <w:rPr>
                <w:rFonts w:ascii="Calibri" w:hAnsi="Calibri"/>
                <w:sz w:val="20"/>
              </w:rPr>
              <w:t>11/07/2012 - 13/08/2012</w:t>
            </w:r>
          </w:p>
        </w:tc>
        <w:tc>
          <w:tcPr>
            <w:tcW w:type="dxa" w:w="1296"/>
            <w:shd w:fill="F2F4F7"/>
            <w:tcMar>
              <w:top w:w="100" w:type="dxa"/>
              <w:bottom w:w="100" w:type="dxa"/>
              <w:left w:w="150" w:type="dxa"/>
              <w:right w:w="150" w:type="dxa"/>
            </w:tcMar>
          </w:tcPr>
          <w:p>
            <w:pPr>
              <w:jc w:val="center"/>
            </w:pPr>
            <w:r>
              <w:rPr>
                <w:rFonts w:ascii="Calibri" w:hAnsi="Calibri"/>
                <w:sz w:val="20"/>
              </w:rPr>
              <w:t>Batch / Event</w:t>
            </w:r>
          </w:p>
        </w:tc>
        <w:tc>
          <w:tcPr>
            <w:tcW w:type="dxa" w:w="1584"/>
            <w:shd w:fill="F2F4F7"/>
            <w:tcMar>
              <w:top w:w="100" w:type="dxa"/>
              <w:bottom w:w="100" w:type="dxa"/>
              <w:left w:w="150" w:type="dxa"/>
              <w:right w:w="150" w:type="dxa"/>
            </w:tcMar>
          </w:tcPr>
          <w:p>
            <w:r>
              <w:rPr>
                <w:rFonts w:ascii="Calibri" w:hAnsi="Calibri"/>
                <w:sz w:val="20"/>
              </w:rPr>
              <w:t>raw -&gt; silver</w:t>
            </w:r>
          </w:p>
        </w:tc>
      </w:tr>
    </w:tbl>
    <w:p>
      <w:pPr>
        <w:spacing w:after="80"/>
      </w:pPr>
    </w:p>
    <w:p>
      <w:pPr>
        <w:keepNext/>
        <w:spacing w:before="240" w:after="80"/>
      </w:pPr>
      <w:r>
        <w:rPr>
          <w:rFonts w:ascii="Calibri" w:hAnsi="Calibri"/>
          <w:b/>
          <w:color w:val="4A777A"/>
          <w:sz w:val="25"/>
        </w:rPr>
        <w:t>Các miền dữ liệu chính (Data Domains):</w:t>
      </w:r>
    </w:p>
    <w:p>
      <w:pPr>
        <w:pStyle w:val="ListBullet"/>
        <w:spacing w:before="0" w:after="60" w:line="276" w:lineRule="auto"/>
        <w:ind w:left="360"/>
      </w:pPr>
      <w:r>
        <w:rPr>
          <w:rFonts w:ascii="Calibri" w:hAnsi="Calibri"/>
          <w:b/>
          <w:color w:val="333333"/>
          <w:sz w:val="22"/>
        </w:rPr>
        <w:t xml:space="preserve">1. Tương tác Web (Web Traffic): </w:t>
      </w:r>
      <w:r>
        <w:rPr>
          <w:rFonts w:ascii="Calibri" w:hAnsi="Calibri"/>
          <w:color w:val="333333"/>
          <w:sz w:val="22"/>
        </w:rPr>
        <w:t>web_traffic: Lưu trữ lượt truy cập, người dùng duy nhất, số trang xem, tỷ lệ thoát (bounce rate), thời gian trung bình phiên và nguồn lưu lượng (Organic, Paid Search, Social Media, Email, Referral, Direct).</w:t>
      </w:r>
    </w:p>
    <w:p>
      <w:pPr>
        <w:pStyle w:val="ListBullet"/>
        <w:spacing w:before="0" w:after="60" w:line="276" w:lineRule="auto"/>
        <w:ind w:left="360"/>
      </w:pPr>
      <w:r>
        <w:rPr>
          <w:rFonts w:ascii="Calibri" w:hAnsi="Calibri"/>
          <w:b/>
          <w:color w:val="333333"/>
          <w:sz w:val="22"/>
        </w:rPr>
        <w:t xml:space="preserve">2. Sản phẩm &amp; Tồn kho (Inventory): </w:t>
      </w:r>
      <w:r>
        <w:rPr>
          <w:rFonts w:ascii="Calibri" w:hAnsi="Calibri"/>
          <w:color w:val="333333"/>
          <w:sz w:val="22"/>
        </w:rPr>
        <w:t>inventory: Quản lý tồn kho đầu/cuối kỳ, lượng nhập, lượng bán, số ngày đứt hàng (stockout_days), ngày cung ứng (days_of_supply), tỷ lệ lấp đầy (fill_rate) và thuộc tính sản phẩm (giá bán, giá vốn COGS, category, segment, size, color).</w:t>
      </w:r>
    </w:p>
    <w:p>
      <w:pPr>
        <w:pStyle w:val="ListBullet"/>
        <w:spacing w:before="0" w:after="60" w:line="276" w:lineRule="auto"/>
        <w:ind w:left="360"/>
      </w:pPr>
      <w:r>
        <w:rPr>
          <w:rFonts w:ascii="Calibri" w:hAnsi="Calibri"/>
          <w:b/>
          <w:color w:val="333333"/>
          <w:sz w:val="22"/>
        </w:rPr>
        <w:t xml:space="preserve">3. Đánh giá Khách hàng (Reviews): </w:t>
      </w:r>
      <w:r>
        <w:rPr>
          <w:rFonts w:ascii="Calibri" w:hAnsi="Calibri"/>
          <w:color w:val="333333"/>
          <w:sz w:val="22"/>
        </w:rPr>
        <w:t>reviews: Phản hồi khách hàng sau mua bao gồm điểm đánh giá (1-5 sao), tiêu đề nhận xét và liên kết đơn hàng/sản phẩm.</w:t>
      </w:r>
    </w:p>
    <w:p>
      <w:pPr>
        <w:pStyle w:val="ListBullet"/>
        <w:spacing w:before="0" w:after="60" w:line="276" w:lineRule="auto"/>
        <w:ind w:left="360"/>
      </w:pPr>
      <w:r>
        <w:rPr>
          <w:rFonts w:ascii="Calibri" w:hAnsi="Calibri"/>
          <w:b/>
          <w:color w:val="333333"/>
          <w:sz w:val="22"/>
        </w:rPr>
        <w:t xml:space="preserve">4. Đổi trả hàng (Returns): </w:t>
      </w:r>
      <w:r>
        <w:rPr>
          <w:rFonts w:ascii="Calibri" w:hAnsi="Calibri"/>
          <w:color w:val="333333"/>
          <w:sz w:val="22"/>
        </w:rPr>
        <w:t>returns: Ghi nhận thông tin đổi trả hàng, lý do trả (wrong_size, defective, changed_mind, late_delivery, not_as_described), số lượng và số tiền hoàn trả.</w:t>
      </w:r>
    </w:p>
    <w:p>
      <w:pPr>
        <w:keepNext/>
        <w:spacing w:before="320" w:after="120"/>
      </w:pPr>
      <w:r>
        <w:rPr>
          <w:rFonts w:ascii="Calibri" w:hAnsi="Calibri"/>
          <w:b/>
          <w:color w:val="1B365D"/>
          <w:sz w:val="30"/>
        </w:rPr>
        <w:t>5. CÁC VẤN ĐỀ VỀ DỮ LIỆU (DATA QUALITY ISSUES)</w:t>
      </w:r>
    </w:p>
    <w:p>
      <w:pPr>
        <w:spacing w:before="0" w:after="80" w:line="276" w:lineRule="auto"/>
      </w:pPr>
      <w:r>
        <w:rPr>
          <w:rFonts w:ascii="Calibri" w:hAnsi="Calibri"/>
          <w:i w:val="0"/>
          <w:color w:val="333333"/>
          <w:sz w:val="22"/>
        </w:rPr>
        <w:t>Trong quá trình khảo sát dữ liệu thô (Raw Data Audit), hệ thống phát hiện các vấn đề chất lượng dữ liệu cốt lõi sau:</w:t>
      </w:r>
    </w:p>
    <w:p>
      <w:pPr>
        <w:keepNext/>
        <w:spacing w:before="240" w:after="80"/>
      </w:pPr>
      <w:r>
        <w:rPr>
          <w:rFonts w:ascii="Calibri" w:hAnsi="Calibri"/>
          <w:b/>
          <w:color w:val="4A777A"/>
          <w:sz w:val="25"/>
        </w:rPr>
        <w:t>5.1. Dữ liệu thiếu (Missing / Null Values)</w:t>
      </w:r>
    </w:p>
    <w:p>
      <w:pPr>
        <w:pStyle w:val="ListBullet"/>
        <w:spacing w:before="0" w:after="60" w:line="276" w:lineRule="auto"/>
        <w:ind w:left="360"/>
      </w:pPr>
      <w:r>
        <w:rPr>
          <w:rFonts w:ascii="Calibri" w:hAnsi="Calibri"/>
          <w:b/>
          <w:color w:val="333333"/>
          <w:sz w:val="22"/>
        </w:rPr>
        <w:t xml:space="preserve">Bảng Reviews &amp; Returns: </w:t>
      </w:r>
      <w:r>
        <w:rPr>
          <w:rFonts w:ascii="Calibri" w:hAnsi="Calibri"/>
          <w:color w:val="333333"/>
          <w:sz w:val="22"/>
        </w:rPr>
        <w:t>Một số bản ghi thiếu tiêu đề đánh giá hoặc lý do trả hàng chưa được phân loại rõ ràng.</w:t>
      </w:r>
    </w:p>
    <w:p>
      <w:pPr>
        <w:pStyle w:val="ListBullet"/>
        <w:spacing w:before="0" w:after="60" w:line="276" w:lineRule="auto"/>
        <w:ind w:left="360"/>
      </w:pPr>
      <w:r>
        <w:rPr>
          <w:rFonts w:ascii="Calibri" w:hAnsi="Calibri"/>
          <w:b/>
          <w:color w:val="333333"/>
          <w:sz w:val="22"/>
        </w:rPr>
        <w:t xml:space="preserve">Bảng Inventory: </w:t>
      </w:r>
      <w:r>
        <w:rPr>
          <w:rFonts w:ascii="Calibri" w:hAnsi="Calibri"/>
          <w:color w:val="333333"/>
          <w:sz w:val="22"/>
        </w:rPr>
        <w:t>Xuất hiện các trường hợp days_of_supply hoặc sell_through_rate chứa giá trị Inf/NaN do phép chia cho 0 khi units_sold = 0 hoặc stock_on_hand = 0.</w:t>
      </w:r>
    </w:p>
    <w:p>
      <w:pPr>
        <w:keepNext/>
        <w:spacing w:before="240" w:after="80"/>
      </w:pPr>
      <w:r>
        <w:rPr>
          <w:rFonts w:ascii="Calibri" w:hAnsi="Calibri"/>
          <w:b/>
          <w:color w:val="4A777A"/>
          <w:sz w:val="25"/>
        </w:rPr>
        <w:t>5.2. Định dạng không chuẩn &amp; Chuỗi ký tự nhiễu</w:t>
      </w:r>
    </w:p>
    <w:p>
      <w:pPr>
        <w:pStyle w:val="ListBullet"/>
        <w:spacing w:before="0" w:after="60" w:line="276" w:lineRule="auto"/>
        <w:ind w:left="360"/>
      </w:pPr>
      <w:r>
        <w:rPr>
          <w:rFonts w:ascii="Calibri" w:hAnsi="Calibri"/>
          <w:b/>
          <w:color w:val="333333"/>
          <w:sz w:val="22"/>
        </w:rPr>
        <w:t xml:space="preserve">Chuẩn hóa chuỗi: </w:t>
      </w:r>
      <w:r>
        <w:rPr>
          <w:rFonts w:ascii="Calibri" w:hAnsi="Calibri"/>
          <w:color w:val="333333"/>
          <w:sz w:val="22"/>
        </w:rPr>
        <w:t>Các cột chuỗi như category, traffic_source chứa khoảng trắng thừa (leading/trailing whitespace) và không đồng nhất về chữ hoa/chữ thường.</w:t>
      </w:r>
    </w:p>
    <w:p>
      <w:pPr>
        <w:pStyle w:val="ListBullet"/>
        <w:spacing w:before="0" w:after="60" w:line="276" w:lineRule="auto"/>
        <w:ind w:left="360"/>
      </w:pPr>
      <w:r>
        <w:rPr>
          <w:rFonts w:ascii="Calibri" w:hAnsi="Calibri"/>
          <w:b/>
          <w:color w:val="333333"/>
          <w:sz w:val="22"/>
        </w:rPr>
        <w:t xml:space="preserve">Kiểu dữ liệu: </w:t>
      </w:r>
      <w:r>
        <w:rPr>
          <w:rFonts w:ascii="Calibri" w:hAnsi="Calibri"/>
          <w:color w:val="333333"/>
          <w:sz w:val="22"/>
        </w:rPr>
        <w:t>Định dạng ngày tháng chưa đồng bộ ISO-8601 giữa các bảng nguồn, cột giá tiền chứa ký tự không số.</w:t>
      </w:r>
    </w:p>
    <w:p>
      <w:pPr>
        <w:keepNext/>
        <w:spacing w:before="240" w:after="80"/>
      </w:pPr>
      <w:r>
        <w:rPr>
          <w:rFonts w:ascii="Calibri" w:hAnsi="Calibri"/>
          <w:b/>
          <w:color w:val="4A777A"/>
          <w:sz w:val="25"/>
        </w:rPr>
        <w:t>5.3. Giá trị ngoại lệ (Outliers) &amp; Bất thường logic nghiệp vụ</w:t>
      </w:r>
    </w:p>
    <w:p>
      <w:pPr>
        <w:pStyle w:val="ListBullet"/>
        <w:spacing w:before="0" w:after="60" w:line="276" w:lineRule="auto"/>
        <w:ind w:left="360"/>
      </w:pPr>
      <w:r>
        <w:rPr>
          <w:rFonts w:ascii="Calibri" w:hAnsi="Calibri"/>
          <w:b/>
          <w:color w:val="333333"/>
          <w:sz w:val="22"/>
        </w:rPr>
        <w:t xml:space="preserve">Bảng Web Traffic: </w:t>
      </w:r>
      <w:r>
        <w:rPr>
          <w:rFonts w:ascii="Calibri" w:hAnsi="Calibri"/>
          <w:color w:val="333333"/>
          <w:sz w:val="22"/>
        </w:rPr>
        <w:t>Phát hiện 18 bản ghi (0.49%) có lượt xem trang (page_views) tăng đột biến bất thường (&gt;200,000 views/ngày) do đợt khuyến mãi lớn hoặc lưu lượng bot/crawler.</w:t>
      </w:r>
    </w:p>
    <w:p>
      <w:pPr>
        <w:pStyle w:val="ListBullet"/>
        <w:spacing w:before="0" w:after="60" w:line="276" w:lineRule="auto"/>
        <w:ind w:left="360"/>
      </w:pPr>
      <w:r>
        <w:rPr>
          <w:rFonts w:ascii="Calibri" w:hAnsi="Calibri"/>
          <w:b/>
          <w:color w:val="333333"/>
          <w:sz w:val="22"/>
        </w:rPr>
        <w:t xml:space="preserve">Bảng Inventory: </w:t>
      </w:r>
      <w:r>
        <w:rPr>
          <w:rFonts w:ascii="Calibri" w:hAnsi="Calibri"/>
          <w:color w:val="333333"/>
          <w:sz w:val="22"/>
        </w:rPr>
        <w:t>Tồn tại 6,432 bản ghi (10.68%) stock_on_hand_is_outlier và 7,455 bản ghi (12.37%) days_of_supply_is_outlier do hàng tồn quá lớn nhưng không phát sinh giao dịch bán.</w:t>
      </w:r>
    </w:p>
    <w:p>
      <w:pPr>
        <w:keepNext/>
        <w:spacing w:before="320" w:after="120"/>
      </w:pPr>
      <w:r>
        <w:rPr>
          <w:rFonts w:ascii="Calibri" w:hAnsi="Calibri"/>
          <w:b/>
          <w:color w:val="1B365D"/>
          <w:sz w:val="30"/>
        </w:rPr>
        <w:t>6. XỬ LÝ DỮ LIỆU THÔ (RAW TO SILVER TRANSFORMATION)</w:t>
      </w:r>
    </w:p>
    <w:p>
      <w:pPr>
        <w:spacing w:before="0" w:after="80" w:line="276" w:lineRule="auto"/>
      </w:pPr>
      <w:r>
        <w:rPr>
          <w:rFonts w:ascii="Calibri" w:hAnsi="Calibri"/>
          <w:i w:val="0"/>
          <w:color w:val="333333"/>
          <w:sz w:val="22"/>
        </w:rPr>
        <w:t>Đường ống ETL/ELT thực hiện làm sạch dữ liệu từ Raw Landing Zone sang tầng Silver Cleaned Data theo các bước chuẩn hóa tự động:</w:t>
      </w:r>
    </w:p>
    <w:p>
      <w:pPr>
        <w:pStyle w:val="ListBullet"/>
        <w:spacing w:before="0" w:after="60" w:line="276" w:lineRule="auto"/>
        <w:ind w:left="360"/>
      </w:pPr>
      <w:r>
        <w:rPr>
          <w:rFonts w:ascii="Calibri" w:hAnsi="Calibri"/>
          <w:b/>
          <w:color w:val="333333"/>
          <w:sz w:val="22"/>
        </w:rPr>
        <w:t xml:space="preserve">1. Khử trùng lặp (Deduplication): </w:t>
      </w:r>
      <w:r>
        <w:rPr>
          <w:rFonts w:ascii="Calibri" w:hAnsi="Calibri"/>
          <w:color w:val="333333"/>
          <w:sz w:val="22"/>
        </w:rPr>
        <w:t>Sử dụng thuật toán ROW_NUMBER() OVER (PARTITION BY business_key ORDER BY updated_at DESC) để loại bỏ các bản ghi trùng lặp.</w:t>
      </w:r>
    </w:p>
    <w:p>
      <w:pPr>
        <w:pStyle w:val="ListBullet"/>
        <w:spacing w:before="0" w:after="60" w:line="276" w:lineRule="auto"/>
        <w:ind w:left="360"/>
      </w:pPr>
      <w:r>
        <w:rPr>
          <w:rFonts w:ascii="Calibri" w:hAnsi="Calibri"/>
          <w:b/>
          <w:color w:val="333333"/>
          <w:sz w:val="22"/>
        </w:rPr>
        <w:t xml:space="preserve">2. Chuẩn hóa Định dạng: </w:t>
      </w:r>
      <w:r>
        <w:rPr>
          <w:rFonts w:ascii="Calibri" w:hAnsi="Calibri"/>
          <w:color w:val="333333"/>
          <w:sz w:val="22"/>
        </w:rPr>
        <w:t>Ép kiểu chuỗi ngày về chuẩn ISO DATE (YYYY-MM-DD), loại bỏ khoảng trắng thừa TRIM() và chuyển toàn bộ định danh phân loại về LOWER().</w:t>
      </w:r>
    </w:p>
    <w:p>
      <w:pPr>
        <w:pStyle w:val="ListBullet"/>
        <w:spacing w:before="0" w:after="60" w:line="276" w:lineRule="auto"/>
        <w:ind w:left="360"/>
      </w:pPr>
      <w:r>
        <w:rPr>
          <w:rFonts w:ascii="Calibri" w:hAnsi="Calibri"/>
          <w:b/>
          <w:color w:val="333333"/>
          <w:sz w:val="22"/>
        </w:rPr>
        <w:t xml:space="preserve">3. Xử lý Missing Value: </w:t>
      </w:r>
      <w:r>
        <w:rPr>
          <w:rFonts w:ascii="Calibri" w:hAnsi="Calibri"/>
          <w:color w:val="333333"/>
          <w:sz w:val="22"/>
        </w:rPr>
        <w:t>Sử dụng SAFE_DIVIDE để tính toán tỷ lệ, thay thế Null bằng giá trị mặc định chuẩn ('unknown' cho lý do trả hàng, 3 sao trung tính cho rating thiếu).</w:t>
      </w:r>
    </w:p>
    <w:p>
      <w:pPr>
        <w:pStyle w:val="ListBullet"/>
        <w:spacing w:before="0" w:after="60" w:line="276" w:lineRule="auto"/>
        <w:ind w:left="360"/>
      </w:pPr>
      <w:r>
        <w:rPr>
          <w:rFonts w:ascii="Calibri" w:hAnsi="Calibri"/>
          <w:b/>
          <w:color w:val="333333"/>
          <w:sz w:val="22"/>
        </w:rPr>
        <w:t xml:space="preserve">4. Đánh dấu Ngoại lệ (Outlier Flagging): </w:t>
      </w:r>
      <w:r>
        <w:rPr>
          <w:rFonts w:ascii="Calibri" w:hAnsi="Calibri"/>
          <w:color w:val="333333"/>
          <w:sz w:val="22"/>
        </w:rPr>
        <w:t>Không loại bỏ (Drop) dữ liệu tài chính/tồn kho thực tế. Thay vào đó, áp dụng thuật toán IQR/Z-Score để thêm các cột cờ cảnh báo (page_views_is_outlier, stock_on_hand_is_outlier, days_of_supply_is_outlier) giúp tầng BI lọc linh hoạt.</w:t>
      </w:r>
    </w:p>
    <w:p>
      <w:pPr>
        <w:keepNext/>
        <w:spacing w:before="320" w:after="120"/>
      </w:pPr>
      <w:r>
        <w:rPr>
          <w:rFonts w:ascii="Calibri" w:hAnsi="Calibri"/>
          <w:b/>
          <w:color w:val="1B365D"/>
          <w:sz w:val="30"/>
        </w:rPr>
        <w:t>7. MÔ TẢ MÔ HÌNH DỮ LIỆU ERD (ENTITY-RELATIONSHIP DIAGRAM)</w:t>
      </w:r>
    </w:p>
    <w:p>
      <w:pPr>
        <w:spacing w:before="0" w:after="80" w:line="276" w:lineRule="auto"/>
      </w:pPr>
      <w:r>
        <w:rPr>
          <w:rFonts w:ascii="Calibri" w:hAnsi="Calibri"/>
          <w:i w:val="0"/>
          <w:color w:val="333333"/>
          <w:sz w:val="22"/>
        </w:rPr>
        <w:t>Tầng Cơ sở dữ liệu Chuẩn hóa (Warehouse 3NF) được thiết kế bao gồm các thực thể quan hệ chặt chẽ:</w:t>
      </w:r>
    </w:p>
    <w:p>
      <w:pPr>
        <w:pStyle w:val="ListBullet"/>
        <w:spacing w:before="0" w:after="60" w:line="276" w:lineRule="auto"/>
        <w:ind w:left="360"/>
      </w:pPr>
      <w:r>
        <w:rPr>
          <w:rFonts w:ascii="Calibri" w:hAnsi="Calibri"/>
          <w:b/>
          <w:color w:val="333333"/>
          <w:sz w:val="22"/>
        </w:rPr>
        <w:t xml:space="preserve">Thực thể dim_customer: </w:t>
      </w:r>
      <w:r>
        <w:rPr>
          <w:rFonts w:ascii="Calibri" w:hAnsi="Calibri"/>
          <w:color w:val="333333"/>
          <w:sz w:val="22"/>
        </w:rPr>
        <w:t>Lưu trữ thông tin khách hàng (customer_id [PK], name, email, phone, city, created_at).</w:t>
      </w:r>
    </w:p>
    <w:p>
      <w:pPr>
        <w:pStyle w:val="ListBullet"/>
        <w:spacing w:before="0" w:after="60" w:line="276" w:lineRule="auto"/>
        <w:ind w:left="360"/>
      </w:pPr>
      <w:r>
        <w:rPr>
          <w:rFonts w:ascii="Calibri" w:hAnsi="Calibri"/>
          <w:b/>
          <w:color w:val="333333"/>
          <w:sz w:val="22"/>
        </w:rPr>
        <w:t xml:space="preserve">Thực thể dim_product: </w:t>
      </w:r>
      <w:r>
        <w:rPr>
          <w:rFonts w:ascii="Calibri" w:hAnsi="Calibri"/>
          <w:color w:val="333333"/>
          <w:sz w:val="22"/>
        </w:rPr>
        <w:t>Lưu trữ thông tin sản phẩm (product_id [PK], product_name, category_id, segment_id, size, color, price, cogs).</w:t>
      </w:r>
    </w:p>
    <w:p>
      <w:pPr>
        <w:pStyle w:val="ListBullet"/>
        <w:spacing w:before="0" w:after="60" w:line="276" w:lineRule="auto"/>
        <w:ind w:left="360"/>
      </w:pPr>
      <w:r>
        <w:rPr>
          <w:rFonts w:ascii="Calibri" w:hAnsi="Calibri"/>
          <w:b/>
          <w:color w:val="333333"/>
          <w:sz w:val="22"/>
        </w:rPr>
        <w:t xml:space="preserve">Thực thể orders: </w:t>
      </w:r>
      <w:r>
        <w:rPr>
          <w:rFonts w:ascii="Calibri" w:hAnsi="Calibri"/>
          <w:color w:val="333333"/>
          <w:sz w:val="22"/>
        </w:rPr>
        <w:t>Lưu thông tin giao dịch tổng thể (order_id [PK], customer_id [FK], order_date, status, traffic_source_id).</w:t>
      </w:r>
    </w:p>
    <w:p>
      <w:pPr>
        <w:pStyle w:val="ListBullet"/>
        <w:spacing w:before="0" w:after="60" w:line="276" w:lineRule="auto"/>
        <w:ind w:left="360"/>
      </w:pPr>
      <w:r>
        <w:rPr>
          <w:rFonts w:ascii="Calibri" w:hAnsi="Calibri"/>
          <w:b/>
          <w:color w:val="333333"/>
          <w:sz w:val="22"/>
        </w:rPr>
        <w:t xml:space="preserve">Thực thể order_items: </w:t>
      </w:r>
      <w:r>
        <w:rPr>
          <w:rFonts w:ascii="Calibri" w:hAnsi="Calibri"/>
          <w:color w:val="333333"/>
          <w:sz w:val="22"/>
        </w:rPr>
        <w:t>Chi tiết từng mặt hàng trong đơn (order_id [FK], product_id [FK], quantity, unit_price, discount_amount).</w:t>
      </w:r>
    </w:p>
    <w:p>
      <w:pPr>
        <w:pStyle w:val="ListBullet"/>
        <w:spacing w:before="0" w:after="60" w:line="276" w:lineRule="auto"/>
        <w:ind w:left="360"/>
      </w:pPr>
      <w:r>
        <w:rPr>
          <w:rFonts w:ascii="Calibri" w:hAnsi="Calibri"/>
          <w:b/>
          <w:color w:val="333333"/>
          <w:sz w:val="22"/>
        </w:rPr>
        <w:t xml:space="preserve">Thực thể returns: </w:t>
      </w:r>
      <w:r>
        <w:rPr>
          <w:rFonts w:ascii="Calibri" w:hAnsi="Calibri"/>
          <w:color w:val="333333"/>
          <w:sz w:val="22"/>
        </w:rPr>
        <w:t>Ghi nhận lượt đổi trả (return_id [PK], order_id [FK], product_id [FK], return_date, return_reason, refund_amount). Quan hệ 1-N với orders.</w:t>
      </w:r>
    </w:p>
    <w:p>
      <w:pPr>
        <w:pStyle w:val="ListBullet"/>
        <w:spacing w:before="0" w:after="60" w:line="276" w:lineRule="auto"/>
        <w:ind w:left="360"/>
      </w:pPr>
      <w:r>
        <w:rPr>
          <w:rFonts w:ascii="Calibri" w:hAnsi="Calibri"/>
          <w:b/>
          <w:color w:val="333333"/>
          <w:sz w:val="22"/>
        </w:rPr>
        <w:t xml:space="preserve">Thực thể reviews: </w:t>
      </w:r>
      <w:r>
        <w:rPr>
          <w:rFonts w:ascii="Calibri" w:hAnsi="Calibri"/>
          <w:color w:val="333333"/>
          <w:sz w:val="22"/>
        </w:rPr>
        <w:t>Ghi nhận phản hồi (review_id [PK], order_id [FK], product_id [FK], rating, review_title, review_date). Quan hệ 1-N với orders.</w:t>
      </w:r>
    </w:p>
    <w:p>
      <w:pPr>
        <w:pStyle w:val="ListBullet"/>
        <w:spacing w:before="0" w:after="60" w:line="276" w:lineRule="auto"/>
        <w:ind w:left="360"/>
      </w:pPr>
      <w:r>
        <w:rPr>
          <w:rFonts w:ascii="Calibri" w:hAnsi="Calibri"/>
          <w:b/>
          <w:color w:val="333333"/>
          <w:sz w:val="22"/>
        </w:rPr>
        <w:t xml:space="preserve">Thực thể inventory_snapshot: </w:t>
      </w:r>
      <w:r>
        <w:rPr>
          <w:rFonts w:ascii="Calibri" w:hAnsi="Calibri"/>
          <w:color w:val="333333"/>
          <w:sz w:val="22"/>
        </w:rPr>
        <w:t>Ảnh chụp tồn kho định kỳ (snapshot_date, product_id [FK], stock_on_hand, units_received, units_sold, stockout_days, days_of_supply).</w:t>
      </w:r>
    </w:p>
    <w:p>
      <w:pPr>
        <w:keepNext/>
        <w:spacing w:before="320" w:after="120"/>
      </w:pPr>
      <w:r>
        <w:rPr>
          <w:rFonts w:ascii="Calibri" w:hAnsi="Calibri"/>
          <w:b/>
          <w:color w:val="1B365D"/>
          <w:sz w:val="30"/>
        </w:rPr>
        <w:t>8. CHUẨN HÓA DỮ LIỆU 3NF (THIRD NORMAL FORM)</w:t>
      </w:r>
    </w:p>
    <w:p>
      <w:pPr>
        <w:spacing w:before="0" w:after="80" w:line="276" w:lineRule="auto"/>
      </w:pPr>
      <w:r>
        <w:rPr>
          <w:rFonts w:ascii="Calibri" w:hAnsi="Calibri"/>
          <w:i w:val="0"/>
          <w:color w:val="333333"/>
          <w:sz w:val="22"/>
        </w:rPr>
        <w:t>Nhằm đảm bảo tính toàn vẹn dữ liệu, triệt tiêu sự dư thừa và tránh các dị thường (Insert/Update/Delete Anomalies), dữ liệu thô dạng bảng gộp (Flat Table) được đưa về Dạng chuẩn 3 (3NF):</w:t>
      </w:r>
    </w:p>
    <w:p>
      <w:pPr>
        <w:pStyle w:val="ListBullet"/>
        <w:spacing w:before="0" w:after="60" w:line="276" w:lineRule="auto"/>
        <w:ind w:left="360"/>
      </w:pPr>
      <w:r>
        <w:rPr>
          <w:rFonts w:ascii="Calibri" w:hAnsi="Calibri"/>
          <w:b/>
          <w:color w:val="333333"/>
          <w:sz w:val="22"/>
        </w:rPr>
        <w:t xml:space="preserve">Dạng chuẩn 1 (1NF): </w:t>
      </w:r>
      <w:r>
        <w:rPr>
          <w:rFonts w:ascii="Calibri" w:hAnsi="Calibri"/>
          <w:color w:val="333333"/>
          <w:sz w:val="22"/>
        </w:rPr>
        <w:t>Đảm bảo mọi thuộc tính đều mang giá trị nguyên tố (Atomic), loại bỏ danh sách hoặc chuỗi gộp.</w:t>
      </w:r>
    </w:p>
    <w:p>
      <w:pPr>
        <w:pStyle w:val="ListBullet"/>
        <w:spacing w:before="0" w:after="60" w:line="276" w:lineRule="auto"/>
        <w:ind w:left="360"/>
      </w:pPr>
      <w:r>
        <w:rPr>
          <w:rFonts w:ascii="Calibri" w:hAnsi="Calibri"/>
          <w:b/>
          <w:color w:val="333333"/>
          <w:sz w:val="22"/>
        </w:rPr>
        <w:t xml:space="preserve">Dạng chuẩn 2 (2NF): </w:t>
      </w:r>
      <w:r>
        <w:rPr>
          <w:rFonts w:ascii="Calibri" w:hAnsi="Calibri"/>
          <w:color w:val="333333"/>
          <w:sz w:val="22"/>
        </w:rPr>
        <w:t>Loại bỏ phụ thuộc một phần (Partial Dependency). Tách thông tin sản phẩm cố định ra khỏi bảng biến động tồn kho theo thời gian.</w:t>
      </w:r>
    </w:p>
    <w:p>
      <w:pPr>
        <w:pStyle w:val="ListBullet"/>
        <w:spacing w:before="0" w:after="60" w:line="276" w:lineRule="auto"/>
        <w:ind w:left="360"/>
      </w:pPr>
      <w:r>
        <w:rPr>
          <w:rFonts w:ascii="Calibri" w:hAnsi="Calibri"/>
          <w:b/>
          <w:color w:val="333333"/>
          <w:sz w:val="22"/>
        </w:rPr>
        <w:t xml:space="preserve">Dạng chuẩn 3 (3NF): </w:t>
      </w:r>
      <w:r>
        <w:rPr>
          <w:rFonts w:ascii="Calibri" w:hAnsi="Calibri"/>
          <w:color w:val="333333"/>
          <w:sz w:val="22"/>
        </w:rPr>
        <w:t>Loại bỏ phụ thuộc bắc cầu (Transitive Dependency). Tách các thuộc tính phân loại (category, segment) thành các thực thể danh mục độc lập.</w:t>
      </w:r>
    </w:p>
    <w:p>
      <w:pPr>
        <w:keepNext/>
        <w:spacing w:before="240" w:after="80"/>
      </w:pPr>
      <w:r>
        <w:rPr>
          <w:rFonts w:ascii="Calibri" w:hAnsi="Calibri"/>
          <w:b/>
          <w:color w:val="4A777A"/>
          <w:sz w:val="25"/>
        </w:rPr>
        <w:t>Minh họa Chuyển đổi Bảng Tồn kho sang 3NF:</w:t>
      </w:r>
    </w:p>
    <w:p>
      <w:pPr>
        <w:spacing w:before="0" w:after="80" w:line="276" w:lineRule="auto"/>
      </w:pPr>
      <w:r>
        <w:rPr>
          <w:rFonts w:ascii="Calibri" w:hAnsi="Calibri"/>
          <w:i w:val="0"/>
          <w:color w:val="333333"/>
          <w:sz w:val="22"/>
        </w:rPr>
        <w:t>Trước chuẩn hóa (Bảng Flat): Tên sản phẩm, danh mục, giá bán bị lặp lại 60,247 lần, gây lãng phí dung lượng và nguy cơ bất đồng bộ khi cập nhật giá.</w:t>
      </w:r>
    </w:p>
    <w:p>
      <w:pPr>
        <w:spacing w:before="0" w:after="80" w:line="276" w:lineRule="auto"/>
      </w:pPr>
      <w:r>
        <w:rPr>
          <w:rFonts w:ascii="Calibri" w:hAnsi="Calibri"/>
          <w:i w:val="0"/>
          <w:color w:val="333333"/>
          <w:sz w:val="22"/>
        </w:rPr>
        <w:t>Sau chuẩn hóa 3NF: Tách thành 2 bảng riêng biệt:</w:t>
      </w:r>
    </w:p>
    <w:p>
      <w:pPr>
        <w:pStyle w:val="ListBullet"/>
        <w:spacing w:before="0" w:after="60" w:line="276" w:lineRule="auto"/>
        <w:ind w:left="360"/>
      </w:pPr>
      <w:r>
        <w:rPr>
          <w:rFonts w:ascii="Calibri" w:hAnsi="Calibri"/>
          <w:b/>
          <w:color w:val="333333"/>
          <w:sz w:val="22"/>
        </w:rPr>
        <w:t xml:space="preserve">Bảng Chiều: </w:t>
      </w:r>
      <w:r>
        <w:rPr>
          <w:rFonts w:ascii="Calibri" w:hAnsi="Calibri"/>
          <w:color w:val="333333"/>
          <w:sz w:val="22"/>
        </w:rPr>
        <w:t>dim_product(product_id [PK], product_name, category, price, cogs) - Chỉ lưu 1 bản ghi duy nhất cho mỗi mã sản phẩm.</w:t>
      </w:r>
    </w:p>
    <w:p>
      <w:pPr>
        <w:pStyle w:val="ListBullet"/>
        <w:spacing w:before="0" w:after="60" w:line="276" w:lineRule="auto"/>
        <w:ind w:left="360"/>
      </w:pPr>
      <w:r>
        <w:rPr>
          <w:rFonts w:ascii="Calibri" w:hAnsi="Calibri"/>
          <w:b/>
          <w:color w:val="333333"/>
          <w:sz w:val="22"/>
        </w:rPr>
        <w:t xml:space="preserve">Bảng Sự kiện: </w:t>
      </w:r>
      <w:r>
        <w:rPr>
          <w:rFonts w:ascii="Calibri" w:hAnsi="Calibri"/>
          <w:color w:val="333333"/>
          <w:sz w:val="22"/>
        </w:rPr>
        <w:t>inventory_snapshot(snapshot_date, product_id [FK], stock_on_hand, units_sold, stockout_days) - Chỉ lưu mã sản phẩm và chỉ số biến động theo thời gian.</w:t>
      </w:r>
    </w:p>
    <w:p>
      <w:pPr>
        <w:keepNext/>
        <w:spacing w:before="320" w:after="120"/>
      </w:pPr>
      <w:r>
        <w:rPr>
          <w:rFonts w:ascii="Calibri" w:hAnsi="Calibri"/>
          <w:b/>
          <w:color w:val="1B365D"/>
          <w:sz w:val="30"/>
        </w:rPr>
        <w:t>9. THIẾT KẾ MEASURE, METRIC VÀ KPI</w:t>
      </w:r>
    </w:p>
    <w:p>
      <w:pPr>
        <w:spacing w:before="0" w:after="80" w:line="276" w:lineRule="auto"/>
      </w:pPr>
      <w:r>
        <w:rPr>
          <w:rFonts w:ascii="Calibri" w:hAnsi="Calibri"/>
          <w:i w:val="0"/>
          <w:color w:val="333333"/>
          <w:sz w:val="22"/>
        </w:rPr>
        <w:t>Hệ thống chỉ số đo lường hiệu quả hoạt động kinh doanh được phân tầng rõ ràng từ số đo thô đến KPI chiến lược:</w:t>
      </w:r>
    </w:p>
    <w:p>
      <w:pPr>
        <w:keepNext/>
        <w:spacing w:before="240" w:after="80"/>
      </w:pPr>
      <w:r>
        <w:rPr>
          <w:rFonts w:ascii="Calibri" w:hAnsi="Calibri"/>
          <w:b/>
          <w:color w:val="4A777A"/>
          <w:sz w:val="25"/>
        </w:rPr>
        <w:t>9.1. Measures (Số đo thô - Basic Aggregations)</w:t>
      </w:r>
    </w:p>
    <w:p>
      <w:pPr>
        <w:pStyle w:val="ListBullet"/>
        <w:spacing w:before="0" w:after="60" w:line="276" w:lineRule="auto"/>
        <w:ind w:left="360"/>
      </w:pPr>
      <w:r>
        <w:rPr>
          <w:rFonts w:ascii="Calibri" w:hAnsi="Calibri"/>
          <w:b/>
          <w:color w:val="333333"/>
          <w:sz w:val="22"/>
        </w:rPr>
        <w:t xml:space="preserve">Tổng doanh thu gộp: </w:t>
      </w:r>
      <w:r>
        <w:rPr>
          <w:rFonts w:ascii="Calibri" w:hAnsi="Calibri"/>
          <w:color w:val="333333"/>
          <w:sz w:val="22"/>
        </w:rPr>
        <w:t>Gross Revenue = SUM(order_items.quantity * order_items.unit_price)</w:t>
      </w:r>
    </w:p>
    <w:p>
      <w:pPr>
        <w:pStyle w:val="ListBullet"/>
        <w:spacing w:before="0" w:after="60" w:line="276" w:lineRule="auto"/>
        <w:ind w:left="360"/>
      </w:pPr>
      <w:r>
        <w:rPr>
          <w:rFonts w:ascii="Calibri" w:hAnsi="Calibri"/>
          <w:b/>
          <w:color w:val="333333"/>
          <w:sz w:val="22"/>
        </w:rPr>
        <w:t xml:space="preserve">Tổng tiền hoàn trả: </w:t>
      </w:r>
      <w:r>
        <w:rPr>
          <w:rFonts w:ascii="Calibri" w:hAnsi="Calibri"/>
          <w:color w:val="333333"/>
          <w:sz w:val="22"/>
        </w:rPr>
        <w:t>Total Refund Amount = SUM(returns.refund_amount)</w:t>
      </w:r>
    </w:p>
    <w:p>
      <w:pPr>
        <w:pStyle w:val="ListBullet"/>
        <w:spacing w:before="0" w:after="60" w:line="276" w:lineRule="auto"/>
        <w:ind w:left="360"/>
      </w:pPr>
      <w:r>
        <w:rPr>
          <w:rFonts w:ascii="Calibri" w:hAnsi="Calibri"/>
          <w:b/>
          <w:color w:val="333333"/>
          <w:sz w:val="22"/>
        </w:rPr>
        <w:t xml:space="preserve">Tổng số lượng bán: </w:t>
      </w:r>
      <w:r>
        <w:rPr>
          <w:rFonts w:ascii="Calibri" w:hAnsi="Calibri"/>
          <w:color w:val="333333"/>
          <w:sz w:val="22"/>
        </w:rPr>
        <w:t>Total Units Sold = SUM(inventory_snapshot.units_sold)</w:t>
      </w:r>
    </w:p>
    <w:p>
      <w:pPr>
        <w:pStyle w:val="ListBullet"/>
        <w:spacing w:before="0" w:after="60" w:line="276" w:lineRule="auto"/>
        <w:ind w:left="360"/>
      </w:pPr>
      <w:r>
        <w:rPr>
          <w:rFonts w:ascii="Calibri" w:hAnsi="Calibri"/>
          <w:b/>
          <w:color w:val="333333"/>
          <w:sz w:val="22"/>
        </w:rPr>
        <w:t xml:space="preserve">Tổng lượt truy cập: </w:t>
      </w:r>
      <w:r>
        <w:rPr>
          <w:rFonts w:ascii="Calibri" w:hAnsi="Calibri"/>
          <w:color w:val="333333"/>
          <w:sz w:val="22"/>
        </w:rPr>
        <w:t>Total Traffic Sessions = SUM(web_traffic.sessions)</w:t>
      </w:r>
    </w:p>
    <w:p>
      <w:pPr>
        <w:keepNext/>
        <w:spacing w:before="240" w:after="80"/>
      </w:pPr>
      <w:r>
        <w:rPr>
          <w:rFonts w:ascii="Calibri" w:hAnsi="Calibri"/>
          <w:b/>
          <w:color w:val="4A777A"/>
          <w:sz w:val="25"/>
        </w:rPr>
        <w:t>9.2. Metrics (Chỉ số tính toán phân tích)</w:t>
      </w:r>
    </w:p>
    <w:p>
      <w:pPr>
        <w:pStyle w:val="ListBullet"/>
        <w:spacing w:before="0" w:after="60" w:line="276" w:lineRule="auto"/>
        <w:ind w:left="360"/>
      </w:pPr>
      <w:r>
        <w:rPr>
          <w:rFonts w:ascii="Calibri" w:hAnsi="Calibri"/>
          <w:b/>
          <w:color w:val="333333"/>
          <w:sz w:val="22"/>
        </w:rPr>
        <w:t xml:space="preserve">Doanh thu thuần: </w:t>
      </w:r>
      <w:r>
        <w:rPr>
          <w:rFonts w:ascii="Calibri" w:hAnsi="Calibri"/>
          <w:color w:val="333333"/>
          <w:sz w:val="22"/>
        </w:rPr>
        <w:t>Net Revenue = Gross Revenue - Total Refund Amount</w:t>
      </w:r>
    </w:p>
    <w:p>
      <w:pPr>
        <w:pStyle w:val="ListBullet"/>
        <w:spacing w:before="0" w:after="60" w:line="276" w:lineRule="auto"/>
        <w:ind w:left="360"/>
      </w:pPr>
      <w:r>
        <w:rPr>
          <w:rFonts w:ascii="Calibri" w:hAnsi="Calibri"/>
          <w:b/>
          <w:color w:val="333333"/>
          <w:sz w:val="22"/>
        </w:rPr>
        <w:t xml:space="preserve">Giá trị đơn hàng trung bình: </w:t>
      </w:r>
      <w:r>
        <w:rPr>
          <w:rFonts w:ascii="Calibri" w:hAnsi="Calibri"/>
          <w:color w:val="333333"/>
          <w:sz w:val="22"/>
        </w:rPr>
        <w:t>Average Order Value (AOV) = Net Revenue / Total Orders</w:t>
      </w:r>
    </w:p>
    <w:p>
      <w:pPr>
        <w:pStyle w:val="ListBullet"/>
        <w:spacing w:before="0" w:after="60" w:line="276" w:lineRule="auto"/>
        <w:ind w:left="360"/>
      </w:pPr>
      <w:r>
        <w:rPr>
          <w:rFonts w:ascii="Calibri" w:hAnsi="Calibri"/>
          <w:b/>
          <w:color w:val="333333"/>
          <w:sz w:val="22"/>
        </w:rPr>
        <w:t xml:space="preserve">Tỷ lệ trả hàng: </w:t>
      </w:r>
      <w:r>
        <w:rPr>
          <w:rFonts w:ascii="Calibri" w:hAnsi="Calibri"/>
          <w:color w:val="333333"/>
          <w:sz w:val="22"/>
        </w:rPr>
        <w:t>Return Rate = (SUM(return_quantity) / SUM(units_sold)) * 100%</w:t>
      </w:r>
    </w:p>
    <w:p>
      <w:pPr>
        <w:pStyle w:val="ListBullet"/>
        <w:spacing w:before="0" w:after="60" w:line="276" w:lineRule="auto"/>
        <w:ind w:left="360"/>
      </w:pPr>
      <w:r>
        <w:rPr>
          <w:rFonts w:ascii="Calibri" w:hAnsi="Calibri"/>
          <w:b/>
          <w:color w:val="333333"/>
          <w:sz w:val="22"/>
        </w:rPr>
        <w:t xml:space="preserve">Tỷ lệ chuyển đổi Web: </w:t>
      </w:r>
      <w:r>
        <w:rPr>
          <w:rFonts w:ascii="Calibri" w:hAnsi="Calibri"/>
          <w:color w:val="333333"/>
          <w:sz w:val="22"/>
        </w:rPr>
        <w:t>Conversion Rate = (Total Orders / Total Traffic Sessions) * 100%</w:t>
      </w:r>
    </w:p>
    <w:p>
      <w:pPr>
        <w:pStyle w:val="ListBullet"/>
        <w:spacing w:before="0" w:after="60" w:line="276" w:lineRule="auto"/>
        <w:ind w:left="360"/>
      </w:pPr>
      <w:r>
        <w:rPr>
          <w:rFonts w:ascii="Calibri" w:hAnsi="Calibri"/>
          <w:b/>
          <w:color w:val="333333"/>
          <w:sz w:val="22"/>
        </w:rPr>
        <w:t xml:space="preserve">Vòng quay hàng tồn kho: </w:t>
      </w:r>
      <w:r>
        <w:rPr>
          <w:rFonts w:ascii="Calibri" w:hAnsi="Calibri"/>
          <w:color w:val="333333"/>
          <w:sz w:val="22"/>
        </w:rPr>
        <w:t>Inventory Turnover = SUM(units_sold) / AVG(stock_on_hand)</w:t>
      </w:r>
    </w:p>
    <w:p>
      <w:pPr>
        <w:keepNext/>
        <w:spacing w:before="240" w:after="80"/>
      </w:pPr>
      <w:r>
        <w:rPr>
          <w:rFonts w:ascii="Calibri" w:hAnsi="Calibri"/>
          <w:b/>
          <w:color w:val="4A777A"/>
          <w:sz w:val="25"/>
        </w:rPr>
        <w:t>9.3. KPIs (Chỉ số mục tiêu chiến lược)</w:t>
      </w:r>
    </w:p>
    <w:p>
      <w:pPr>
        <w:pStyle w:val="ListBullet"/>
        <w:spacing w:before="0" w:after="60" w:line="276" w:lineRule="auto"/>
        <w:ind w:left="360"/>
      </w:pPr>
      <w:r>
        <w:rPr>
          <w:rFonts w:ascii="Calibri" w:hAnsi="Calibri"/>
          <w:b/>
          <w:color w:val="333333"/>
          <w:sz w:val="22"/>
        </w:rPr>
        <w:t xml:space="preserve">KPI Doanh thu: </w:t>
      </w:r>
      <w:r>
        <w:rPr>
          <w:rFonts w:ascii="Calibri" w:hAnsi="Calibri"/>
          <w:color w:val="333333"/>
          <w:sz w:val="22"/>
        </w:rPr>
        <w:t>Mục tiêu tăng trưởng doanh thu thuần MoM &gt; 15%.</w:t>
      </w:r>
    </w:p>
    <w:p>
      <w:pPr>
        <w:pStyle w:val="ListBullet"/>
        <w:spacing w:before="0" w:after="60" w:line="276" w:lineRule="auto"/>
        <w:ind w:left="360"/>
      </w:pPr>
      <w:r>
        <w:rPr>
          <w:rFonts w:ascii="Calibri" w:hAnsi="Calibri"/>
          <w:b/>
          <w:color w:val="333333"/>
          <w:sz w:val="22"/>
        </w:rPr>
        <w:t xml:space="preserve">KPI Tồn kho: </w:t>
      </w:r>
      <w:r>
        <w:rPr>
          <w:rFonts w:ascii="Calibri" w:hAnsi="Calibri"/>
          <w:color w:val="333333"/>
          <w:sz w:val="22"/>
        </w:rPr>
        <w:t>Tỷ lệ đứt hàng (Stockout Rate) &lt; 3% và Tỷ lệ tồn kho vượt trần (Overstock Rate) &lt; 10%.</w:t>
      </w:r>
    </w:p>
    <w:p>
      <w:pPr>
        <w:pStyle w:val="ListBullet"/>
        <w:spacing w:before="0" w:after="60" w:line="276" w:lineRule="auto"/>
        <w:ind w:left="360"/>
      </w:pPr>
      <w:r>
        <w:rPr>
          <w:rFonts w:ascii="Calibri" w:hAnsi="Calibri"/>
          <w:b/>
          <w:color w:val="333333"/>
          <w:sz w:val="22"/>
        </w:rPr>
        <w:t xml:space="preserve">KPI Chất lượng dịch vụ: </w:t>
      </w:r>
      <w:r>
        <w:rPr>
          <w:rFonts w:ascii="Calibri" w:hAnsi="Calibri"/>
          <w:color w:val="333333"/>
          <w:sz w:val="22"/>
        </w:rPr>
        <w:t>Tỷ lệ trả hàng &lt; 5%, Điểm đánh giá CSAT trung bình &gt;= 4.2 / 5.0 sao.</w:t>
      </w:r>
    </w:p>
    <w:p>
      <w:pPr>
        <w:keepNext/>
        <w:spacing w:before="320" w:after="120"/>
      </w:pPr>
      <w:r>
        <w:rPr>
          <w:rFonts w:ascii="Calibri" w:hAnsi="Calibri"/>
          <w:b/>
          <w:color w:val="1B365D"/>
          <w:sz w:val="30"/>
        </w:rPr>
        <w:t>10. THIẾT KẾ KHO DỮ LIỆU / GOLDEN DATA (STAR SCHEMA)</w:t>
      </w:r>
    </w:p>
    <w:p>
      <w:pPr>
        <w:spacing w:before="0" w:after="80" w:line="276" w:lineRule="auto"/>
      </w:pPr>
      <w:r>
        <w:rPr>
          <w:rFonts w:ascii="Calibri" w:hAnsi="Calibri"/>
          <w:i w:val="0"/>
          <w:color w:val="333333"/>
          <w:sz w:val="22"/>
        </w:rPr>
        <w:t>Tầng Golden Data Warehouse được tổ chức theo Mô hình Hình sao (Star Schema) tối ưu hóa cho truy vấn OLAP và hiển thị Dashboard BI tốc độ cao:</w:t>
      </w:r>
    </w:p>
    <w:p>
      <w:pPr>
        <w:keepNext/>
        <w:spacing w:before="240" w:after="80"/>
      </w:pPr>
      <w:r>
        <w:rPr>
          <w:rFonts w:ascii="Calibri" w:hAnsi="Calibri"/>
          <w:b/>
          <w:color w:val="4A777A"/>
          <w:sz w:val="25"/>
        </w:rPr>
        <w:t>10.1. Các Bảng Sự kiện (Fact Tables)</w:t>
      </w:r>
    </w:p>
    <w:p>
      <w:pPr>
        <w:pStyle w:val="ListBullet"/>
        <w:spacing w:before="0" w:after="60" w:line="276" w:lineRule="auto"/>
        <w:ind w:left="360"/>
      </w:pPr>
      <w:r>
        <w:rPr>
          <w:rFonts w:ascii="Calibri" w:hAnsi="Calibri"/>
          <w:b/>
          <w:color w:val="333333"/>
          <w:sz w:val="22"/>
        </w:rPr>
        <w:t xml:space="preserve">Fact Bán hàng: </w:t>
      </w:r>
      <w:r>
        <w:rPr>
          <w:rFonts w:ascii="Calibri" w:hAnsi="Calibri"/>
          <w:color w:val="333333"/>
          <w:sz w:val="22"/>
        </w:rPr>
        <w:t>Fact_Sales: Chứa các số đo doanh thu, số lượng, giảm giá, giá vốn, lợi nhuận gộp. Kết nối với Dim_Date, Dim_Customer, Dim_Product, Dim_TrafficSource.</w:t>
      </w:r>
    </w:p>
    <w:p>
      <w:pPr>
        <w:pStyle w:val="ListBullet"/>
        <w:spacing w:before="0" w:after="60" w:line="276" w:lineRule="auto"/>
        <w:ind w:left="360"/>
      </w:pPr>
      <w:r>
        <w:rPr>
          <w:rFonts w:ascii="Calibri" w:hAnsi="Calibri"/>
          <w:b/>
          <w:color w:val="333333"/>
          <w:sz w:val="22"/>
        </w:rPr>
        <w:t xml:space="preserve">Fact Tồn kho: </w:t>
      </w:r>
      <w:r>
        <w:rPr>
          <w:rFonts w:ascii="Calibri" w:hAnsi="Calibri"/>
          <w:color w:val="333333"/>
          <w:sz w:val="22"/>
        </w:rPr>
        <w:t>Fact_Inventory_Monthly: Chứa số đo tồn kho đầu/cuối kỳ, lượng nhập, lượng bán, ngày đứt hàng, tỷ lệ lấp đầy. Kết nối với Dim_Date, Dim_Product.</w:t>
      </w:r>
    </w:p>
    <w:p>
      <w:pPr>
        <w:pStyle w:val="ListBullet"/>
        <w:spacing w:before="0" w:after="60" w:line="276" w:lineRule="auto"/>
        <w:ind w:left="360"/>
      </w:pPr>
      <w:r>
        <w:rPr>
          <w:rFonts w:ascii="Calibri" w:hAnsi="Calibri"/>
          <w:b/>
          <w:color w:val="333333"/>
          <w:sz w:val="22"/>
        </w:rPr>
        <w:t xml:space="preserve">Fact Đổi trả: </w:t>
      </w:r>
      <w:r>
        <w:rPr>
          <w:rFonts w:ascii="Calibri" w:hAnsi="Calibri"/>
          <w:color w:val="333333"/>
          <w:sz w:val="22"/>
        </w:rPr>
        <w:t>Fact_Returns: Chứa số lượng trả, số tiền hoàn tiền, lý do trả. Kết nối với Dim_Date, Dim_Product, Dim_Customer.</w:t>
      </w:r>
    </w:p>
    <w:p>
      <w:pPr>
        <w:keepNext/>
        <w:spacing w:before="240" w:after="80"/>
      </w:pPr>
      <w:r>
        <w:rPr>
          <w:rFonts w:ascii="Calibri" w:hAnsi="Calibri"/>
          <w:b/>
          <w:color w:val="4A777A"/>
          <w:sz w:val="25"/>
        </w:rPr>
        <w:t>10.2. Các Bảng Chiều (Dimension Tables)</w:t>
      </w:r>
    </w:p>
    <w:p>
      <w:pPr>
        <w:pStyle w:val="ListBullet"/>
        <w:spacing w:before="0" w:after="60" w:line="276" w:lineRule="auto"/>
        <w:ind w:left="360"/>
      </w:pPr>
      <w:r>
        <w:rPr>
          <w:rFonts w:ascii="Calibri" w:hAnsi="Calibri"/>
          <w:b/>
          <w:color w:val="333333"/>
          <w:sz w:val="22"/>
        </w:rPr>
        <w:t xml:space="preserve">Chiều Sản phẩm: </w:t>
      </w:r>
      <w:r>
        <w:rPr>
          <w:rFonts w:ascii="Calibri" w:hAnsi="Calibri"/>
          <w:color w:val="333333"/>
          <w:sz w:val="22"/>
        </w:rPr>
        <w:t>Dim_Product: Khoá thay thế (product_key), product_id, product_name, category, segment, size, color, current_price.</w:t>
      </w:r>
    </w:p>
    <w:p>
      <w:pPr>
        <w:pStyle w:val="ListBullet"/>
        <w:spacing w:before="0" w:after="60" w:line="276" w:lineRule="auto"/>
        <w:ind w:left="360"/>
      </w:pPr>
      <w:r>
        <w:rPr>
          <w:rFonts w:ascii="Calibri" w:hAnsi="Calibri"/>
          <w:b/>
          <w:color w:val="333333"/>
          <w:sz w:val="22"/>
        </w:rPr>
        <w:t xml:space="preserve">Chiều Thời gian: </w:t>
      </w:r>
      <w:r>
        <w:rPr>
          <w:rFonts w:ascii="Calibri" w:hAnsi="Calibri"/>
          <w:color w:val="333333"/>
          <w:sz w:val="22"/>
        </w:rPr>
        <w:t>Dim_Date: Khoá date_key (YYYYMMDD), full_date, day_of_week, month, quarter, year, is_weekend, is_holiday.</w:t>
      </w:r>
    </w:p>
    <w:p>
      <w:pPr>
        <w:pStyle w:val="ListBullet"/>
        <w:spacing w:before="0" w:after="60" w:line="276" w:lineRule="auto"/>
        <w:ind w:left="360"/>
      </w:pPr>
      <w:r>
        <w:rPr>
          <w:rFonts w:ascii="Calibri" w:hAnsi="Calibri"/>
          <w:b/>
          <w:color w:val="333333"/>
          <w:sz w:val="22"/>
        </w:rPr>
        <w:t xml:space="preserve">Chiều Khách hàng: </w:t>
      </w:r>
      <w:r>
        <w:rPr>
          <w:rFonts w:ascii="Calibri" w:hAnsi="Calibri"/>
          <w:color w:val="333333"/>
          <w:sz w:val="22"/>
        </w:rPr>
        <w:t>Dim_Customer: Khoá customer_key, customer_id, gender, age_group, city, customer_segment.</w:t>
      </w:r>
    </w:p>
    <w:p>
      <w:pPr>
        <w:pStyle w:val="ListBullet"/>
        <w:spacing w:before="0" w:after="60" w:line="276" w:lineRule="auto"/>
        <w:ind w:left="360"/>
      </w:pPr>
      <w:r>
        <w:rPr>
          <w:rFonts w:ascii="Calibri" w:hAnsi="Calibri"/>
          <w:b/>
          <w:color w:val="333333"/>
          <w:sz w:val="22"/>
        </w:rPr>
        <w:t xml:space="preserve">Chiều Nguồn Traffic: </w:t>
      </w:r>
      <w:r>
        <w:rPr>
          <w:rFonts w:ascii="Calibri" w:hAnsi="Calibri"/>
          <w:color w:val="333333"/>
          <w:sz w:val="22"/>
        </w:rPr>
        <w:t>Dim_TrafficSource: Khoá traffic_source_key, channel_name, channel_type (Paid/Organic/Direct).</w:t>
      </w:r>
    </w:p>
    <w:p>
      <w:pPr>
        <w:keepNext/>
        <w:spacing w:before="240" w:after="80"/>
      </w:pPr>
      <w:r>
        <w:rPr>
          <w:rFonts w:ascii="Calibri" w:hAnsi="Calibri"/>
          <w:b/>
          <w:color w:val="4A777A"/>
          <w:sz w:val="25"/>
        </w:rPr>
        <w:t>10.3. Lợi ích của Mô hình Star Schema đối với BI &amp; Analytic Reporting</w:t>
      </w:r>
    </w:p>
    <w:p>
      <w:pPr>
        <w:pStyle w:val="ListBullet"/>
        <w:spacing w:before="0" w:after="60" w:line="276" w:lineRule="auto"/>
        <w:ind w:left="360"/>
      </w:pPr>
      <w:r>
        <w:rPr>
          <w:rFonts w:ascii="Calibri" w:hAnsi="Calibri"/>
          <w:b/>
          <w:color w:val="333333"/>
          <w:sz w:val="22"/>
        </w:rPr>
        <w:t xml:space="preserve">Tối ưu truy vấn: </w:t>
      </w:r>
      <w:r>
        <w:rPr>
          <w:rFonts w:ascii="Calibri" w:hAnsi="Calibri"/>
          <w:color w:val="333333"/>
          <w:sz w:val="22"/>
        </w:rPr>
        <w:t>Giảm thiểu độ phức tạp của các câu lệnh JOIN, tăng tốc độ truy vấn báo cáo gấp 5-10 lần so với mô hình 3NF.</w:t>
      </w:r>
    </w:p>
    <w:p>
      <w:pPr>
        <w:pStyle w:val="ListBullet"/>
        <w:spacing w:before="0" w:after="60" w:line="276" w:lineRule="auto"/>
        <w:ind w:left="360"/>
      </w:pPr>
      <w:r>
        <w:rPr>
          <w:rFonts w:ascii="Calibri" w:hAnsi="Calibri"/>
          <w:b/>
          <w:color w:val="333333"/>
          <w:sz w:val="22"/>
        </w:rPr>
        <w:t xml:space="preserve">Thao tác linh hoạt: </w:t>
      </w:r>
      <w:r>
        <w:rPr>
          <w:rFonts w:ascii="Calibri" w:hAnsi="Calibri"/>
          <w:color w:val="333333"/>
          <w:sz w:val="22"/>
        </w:rPr>
        <w:t>Hỗ trợ thao tác Drill-down, Slice &amp; Dice mượt mà trên Power BI / Tableau.</w:t>
      </w:r>
    </w:p>
    <w:p>
      <w:pPr>
        <w:pStyle w:val="ListBullet"/>
        <w:spacing w:before="0" w:after="60" w:line="276" w:lineRule="auto"/>
        <w:ind w:left="360"/>
      </w:pPr>
      <w:r>
        <w:rPr>
          <w:rFonts w:ascii="Calibri" w:hAnsi="Calibri"/>
          <w:b/>
          <w:color w:val="333333"/>
          <w:sz w:val="22"/>
        </w:rPr>
        <w:t xml:space="preserve">Nhất quán dữ liệu: </w:t>
      </w:r>
      <w:r>
        <w:rPr>
          <w:rFonts w:ascii="Calibri" w:hAnsi="Calibri"/>
          <w:color w:val="333333"/>
          <w:sz w:val="22"/>
        </w:rPr>
        <w:t>Đảm bảo tính nhất quán của tập chỉ số (Single Source of Truth) cho toàn bộ tổ chức.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