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Ethical Decision-Making in Nigerian Public Administration:</w:t>
      </w:r>
    </w:p>
    <w:p>
      <w:pPr>
        <w:spacing w:after="300"/>
        <w:jc w:val="center"/>
      </w:pPr>
      <w:r>
        <w:rPr>
          <w:rFonts w:ascii="Times New Roman" w:cs="Times New Roman" w:eastAsia="Times New Roman" w:hAnsi="Times New Roman"/>
          <w:b/>
          <w:bCs/>
          <w:sz w:val="32"/>
          <w:szCs w:val="32"/>
        </w:rPr>
        <w:t xml:space="preserve">A Critical Assessment</w:t>
      </w:r>
    </w:p>
    <w:p>
      <w:pPr>
        <w:spacing w:after="80"/>
        <w:jc w:val="center"/>
      </w:pPr>
      <w:r>
        <w:rPr>
          <w:rFonts w:ascii="Times New Roman" w:cs="Times New Roman" w:eastAsia="Times New Roman" w:hAnsi="Times New Roman"/>
          <w:sz w:val="24"/>
          <w:szCs w:val="24"/>
        </w:rPr>
        <w:t xml:space="preserve">Department of Public Administration</w:t>
      </w:r>
    </w:p>
    <w:p>
      <w:pPr>
        <w:spacing w:after="80"/>
        <w:jc w:val="center"/>
      </w:pPr>
      <w:r>
        <w:rPr>
          <w:rFonts w:ascii="Times New Roman" w:cs="Times New Roman" w:eastAsia="Times New Roman" w:hAnsi="Times New Roman"/>
          <w:sz w:val="24"/>
          <w:szCs w:val="24"/>
        </w:rPr>
        <w:t xml:space="preserve">Course: Public Sector Ethics and Governance</w:t>
      </w:r>
    </w:p>
    <w:p>
      <w:pPr>
        <w:spacing w:after="400"/>
        <w:jc w:val="center"/>
      </w:pPr>
      <w:r>
        <w:rPr>
          <w:rFonts w:ascii="Times New Roman" w:cs="Times New Roman" w:eastAsia="Times New Roman" w:hAnsi="Times New Roman"/>
          <w:sz w:val="24"/>
          <w:szCs w:val="24"/>
        </w:rPr>
        <w:t xml:space="preserve">February 2026</w:t>
      </w:r>
    </w:p>
    <w:p>
      <w:pPr>
        <w:pStyle w:val="Heading1"/>
        <w:spacing w:before="300" w:after="150"/>
      </w:pPr>
      <w:r>
        <w:rPr>
          <w:rFonts w:ascii="Times New Roman" w:cs="Times New Roman" w:eastAsia="Times New Roman" w:hAnsi="Times New Roman"/>
          <w:b/>
          <w:bCs/>
          <w:sz w:val="28"/>
          <w:szCs w:val="28"/>
        </w:rPr>
        <w:t xml:space="preserve">Abstract</w:t>
      </w:r>
    </w:p>
    <w:p>
      <w:pPr>
        <w:spacing w:after="200" w:line="360"/>
        <w:jc w:val="both"/>
      </w:pPr>
      <w:r>
        <w:rPr>
          <w:rFonts w:ascii="Times New Roman" w:cs="Times New Roman" w:eastAsia="Times New Roman" w:hAnsi="Times New Roman"/>
          <w:sz w:val="24"/>
          <w:szCs w:val="24"/>
        </w:rPr>
        <w:t xml:space="preserve">This paper presents a critical assessment of the ethical implications of decision-making in Nigerian public administration. Drawing on governance theory, institutional ethics, and empirical observations of Nigeria's administrative landscape, the analysis identifies the structural and political forces that distort ethical conduct among public servants. Five critical self-reflective questions are proposed to guide ethical decision-making in practice. The paper further examines the pervasive tension between short-term political objectives and long-term governance values, offering a comprehensive ethical framework designed to resolve this tension while preserving public trust and accountability. The framework integrates procedural integrity, institutional transparency, participatory accountability, and value-based leadership as its foundational pillars.</w:t>
      </w:r>
    </w:p>
    <w:p>
      <w:pPr>
        <w:pStyle w:val="Heading1"/>
        <w:spacing w:before="300" w:after="150"/>
      </w:pPr>
      <w:r>
        <w:rPr>
          <w:rFonts w:ascii="Times New Roman" w:cs="Times New Roman" w:eastAsia="Times New Roman" w:hAnsi="Times New Roman"/>
          <w:b/>
          <w:bCs/>
          <w:sz w:val="28"/>
          <w:szCs w:val="28"/>
        </w:rPr>
        <w:t xml:space="preserve">1. Introduction</w:t>
      </w:r>
    </w:p>
    <w:p>
      <w:pPr>
        <w:spacing w:after="200" w:line="360"/>
        <w:jc w:val="both"/>
      </w:pPr>
      <w:r>
        <w:rPr>
          <w:rFonts w:ascii="Times New Roman" w:cs="Times New Roman" w:eastAsia="Times New Roman" w:hAnsi="Times New Roman"/>
          <w:sz w:val="24"/>
          <w:szCs w:val="24"/>
        </w:rPr>
        <w:t xml:space="preserve">Ethical decision-making remains one of the most pressing challenges confronting public administration in developing nations, and Nigeria is no exception. With a federal structure encompassing 36 states and a federal capital territory, Nigeria's public sector is characterised by complex bureaucratic hierarchies, politicised appointments, and persistent governance deficits. Public servants operate at the intersection of democratic mandates, political patronage, and constitutional obligations — a confluence that regularly gives rise to ethical dilemmas of considerable consequence.</w:t>
      </w:r>
    </w:p>
    <w:p>
      <w:pPr>
        <w:spacing w:after="200" w:line="360"/>
        <w:jc w:val="both"/>
      </w:pPr>
      <w:r>
        <w:rPr>
          <w:rFonts w:ascii="Times New Roman" w:cs="Times New Roman" w:eastAsia="Times New Roman" w:hAnsi="Times New Roman"/>
          <w:sz w:val="24"/>
          <w:szCs w:val="24"/>
        </w:rPr>
        <w:t xml:space="preserve">Scholars such as Rosenbloom, Kravchuk, and Clerkin (2015) argue that the fundamental purpose of public administration is to serve the public interest through the responsible exercise of discretionary authority. Yet in Nigeria, this discretion is frequently compromised by electoral pressures, ethno-regional loyalties, and systemic corruption — forces that collectively undermine the integrity of governance. The Global Corruption Perceptions Index (Transparency International, 2023) consistently ranks Nigeria among nations with high perceived levels of public sector corruption, reflecting the acute ethical deficits within its administrative apparatus.</w:t>
      </w:r>
    </w:p>
    <w:p>
      <w:pPr>
        <w:spacing w:after="200" w:line="360"/>
        <w:jc w:val="both"/>
      </w:pPr>
      <w:r>
        <w:rPr>
          <w:rFonts w:ascii="Times New Roman" w:cs="Times New Roman" w:eastAsia="Times New Roman" w:hAnsi="Times New Roman"/>
          <w:sz w:val="24"/>
          <w:szCs w:val="24"/>
        </w:rPr>
        <w:t xml:space="preserve">This assessment seeks to unpack these ethical complexities, propose a set of guiding questions for public servants, and articulate a practical ethical framework capable of bridging the gap between political expediency and principled governance. The analysis is structured in four parts: a critical assessment of ethical implications, five guiding questions for public servants, a reflection on the tension between political cycles and governance values, and a proposed ethical framework.</w:t>
      </w:r>
    </w:p>
    <w:p>
      <w:pPr>
        <w:pStyle w:val="Heading1"/>
        <w:spacing w:before="300" w:after="150"/>
      </w:pPr>
      <w:r>
        <w:rPr>
          <w:rFonts w:ascii="Times New Roman" w:cs="Times New Roman" w:eastAsia="Times New Roman" w:hAnsi="Times New Roman"/>
          <w:b/>
          <w:bCs/>
          <w:sz w:val="28"/>
          <w:szCs w:val="28"/>
        </w:rPr>
        <w:t xml:space="preserve">2. Critical Assessment of Ethical Implications in Nigerian Public Administration</w:t>
      </w:r>
    </w:p>
    <w:p>
      <w:pPr>
        <w:pStyle w:val="Heading2"/>
        <w:spacing w:before="240" w:after="120"/>
      </w:pPr>
      <w:r>
        <w:rPr>
          <w:rFonts w:ascii="Times New Roman" w:cs="Times New Roman" w:eastAsia="Times New Roman" w:hAnsi="Times New Roman"/>
          <w:b/>
          <w:bCs/>
          <w:sz w:val="24"/>
          <w:szCs w:val="24"/>
        </w:rPr>
        <w:t xml:space="preserve">2.1 Structural Enablers of Ethical Failure</w:t>
      </w:r>
    </w:p>
    <w:p>
      <w:pPr>
        <w:spacing w:after="200" w:line="360"/>
        <w:jc w:val="both"/>
      </w:pPr>
      <w:r>
        <w:rPr>
          <w:rFonts w:ascii="Times New Roman" w:cs="Times New Roman" w:eastAsia="Times New Roman" w:hAnsi="Times New Roman"/>
          <w:sz w:val="24"/>
          <w:szCs w:val="24"/>
        </w:rPr>
        <w:t xml:space="preserve">The ethical challenges in Nigeria's public administration are not merely a product of individual moral failings but are deeply rooted in structural conditions that enable and sometimes incentivise misconduct. Eme and Onyishi (2014) identify the concentration of executive power, weak legislative oversight, and the absence of independent anti-corruption institutions as systemic vulnerabilities that erode ethical standards. The Federal Character Principle, though constitutionally designed to ensure federal inclusivity, has in practice been used to justify patronage-based appointments that prioritise ethnic representation over professional competence and ethical fitness.</w:t>
      </w:r>
    </w:p>
    <w:p>
      <w:pPr>
        <w:spacing w:after="200" w:line="360"/>
        <w:jc w:val="both"/>
      </w:pPr>
      <w:r>
        <w:rPr>
          <w:rFonts w:ascii="Times New Roman" w:cs="Times New Roman" w:eastAsia="Times New Roman" w:hAnsi="Times New Roman"/>
          <w:sz w:val="24"/>
          <w:szCs w:val="24"/>
        </w:rPr>
        <w:t xml:space="preserve">Additionally, the opacity of procurement processes, the under-funding of audit institutions, and the weak enforcement of the Code of Conduct Bureau and Tribunal create an environment where ethical violations are rarely met with meaningful consequences. This impunity reinforces a culture of instrumentalism — where public office is perceived primarily as a vehicle for private or partisan enrichment rather than public service.</w:t>
      </w:r>
    </w:p>
    <w:p>
      <w:pPr>
        <w:pStyle w:val="Heading2"/>
        <w:spacing w:before="240" w:after="120"/>
      </w:pPr>
      <w:r>
        <w:rPr>
          <w:rFonts w:ascii="Times New Roman" w:cs="Times New Roman" w:eastAsia="Times New Roman" w:hAnsi="Times New Roman"/>
          <w:b/>
          <w:bCs/>
          <w:sz w:val="24"/>
          <w:szCs w:val="24"/>
        </w:rPr>
        <w:t xml:space="preserve">2.2 Political Interference and Administrative Neutrality</w:t>
      </w:r>
    </w:p>
    <w:p>
      <w:pPr>
        <w:spacing w:after="200" w:line="360"/>
        <w:jc w:val="both"/>
      </w:pPr>
      <w:r>
        <w:rPr>
          <w:rFonts w:ascii="Times New Roman" w:cs="Times New Roman" w:eastAsia="Times New Roman" w:hAnsi="Times New Roman"/>
          <w:sz w:val="24"/>
          <w:szCs w:val="24"/>
        </w:rPr>
        <w:t xml:space="preserve">A recurring ethical tension in Nigerian public administration is the subordination of professional administrative judgment to political directives. Ministers, commissioners, and their appointees frequently override the recommendations of career civil servants on matters of policy implementation, contract awards, and personnel decisions. This subordination compromises administrative neutrality — a foundational principle of the Weberian model of bureaucracy that holds that public servants should implement policy impartially, irrespective of partisan considerations.</w:t>
      </w:r>
    </w:p>
    <w:p>
      <w:pPr>
        <w:spacing w:after="200" w:line="360"/>
        <w:jc w:val="both"/>
      </w:pPr>
      <w:r>
        <w:rPr>
          <w:rFonts w:ascii="Times New Roman" w:cs="Times New Roman" w:eastAsia="Times New Roman" w:hAnsi="Times New Roman"/>
          <w:sz w:val="24"/>
          <w:szCs w:val="24"/>
        </w:rPr>
        <w:t xml:space="preserve">Cooper (2012) identifies this as the problem of "ethical obliteration" — wherein institutional pressure gradually erodes an individual's capacity to recognise or resist unethical conduct. In the Nigerian context, this dynamic is amplified by the threat of political victimisation for civil servants who resist directives from political principals, creating a climate of compelled complicity.</w:t>
      </w:r>
    </w:p>
    <w:p>
      <w:pPr>
        <w:pStyle w:val="Heading2"/>
        <w:spacing w:before="240" w:after="120"/>
      </w:pPr>
      <w:r>
        <w:rPr>
          <w:rFonts w:ascii="Times New Roman" w:cs="Times New Roman" w:eastAsia="Times New Roman" w:hAnsi="Times New Roman"/>
          <w:b/>
          <w:bCs/>
          <w:sz w:val="24"/>
          <w:szCs w:val="24"/>
        </w:rPr>
        <w:t xml:space="preserve">2.3 The Ethics of Distributive Justice</w:t>
      </w:r>
    </w:p>
    <w:p>
      <w:pPr>
        <w:spacing w:after="200" w:line="360"/>
        <w:jc w:val="both"/>
      </w:pPr>
      <w:r>
        <w:rPr>
          <w:rFonts w:ascii="Times New Roman" w:cs="Times New Roman" w:eastAsia="Times New Roman" w:hAnsi="Times New Roman"/>
          <w:sz w:val="24"/>
          <w:szCs w:val="24"/>
        </w:rPr>
        <w:t xml:space="preserve">Beyond procedural integrity, the ethical dimension of Nigerian public administration extends to distributive justice — the equitable allocation of public resources across social, geographic, and demographic lines. Budget padding, misallocation of constituency development funds, and the diversion of social welfare resources to politically favoured constituencies represent manifestations of distributive injustice that have profound ethical implications. Such practices not only violate the constitutional principle of equity but also perpetuate poverty and underdevelopment in marginalised communities, undermining the long-term social contract between the state and its citizens.</w:t>
      </w:r>
    </w:p>
    <w:p>
      <w:pPr>
        <w:pStyle w:val="Heading1"/>
        <w:spacing w:before="300" w:after="150"/>
      </w:pPr>
      <w:r>
        <w:rPr>
          <w:rFonts w:ascii="Times New Roman" w:cs="Times New Roman" w:eastAsia="Times New Roman" w:hAnsi="Times New Roman"/>
          <w:b/>
          <w:bCs/>
          <w:sz w:val="28"/>
          <w:szCs w:val="28"/>
        </w:rPr>
        <w:t xml:space="preserve">3. Five Critical Questions for Nigerian Public Servants Facing Ethical Dilemmas</w:t>
      </w:r>
    </w:p>
    <w:p>
      <w:pPr>
        <w:spacing w:after="200" w:line="360"/>
        <w:jc w:val="both"/>
      </w:pPr>
      <w:r>
        <w:rPr>
          <w:rFonts w:ascii="Times New Roman" w:cs="Times New Roman" w:eastAsia="Times New Roman" w:hAnsi="Times New Roman"/>
          <w:sz w:val="24"/>
          <w:szCs w:val="24"/>
        </w:rPr>
        <w:t xml:space="preserve">In response to the ethical complexities outlined above, the following five critical questions are proposed as a reflective tool for Nigerian public servants navigating ethical dilemmas. These questions are grounded in the ethical frameworks of consequentialism, deontological ethics, virtue ethics, and public interest theory.</w:t>
      </w:r>
    </w:p>
    <w:p>
      <w:pPr>
        <w:pStyle w:val="ListParagraph"/>
        <w:numPr>
          <w:ilvl w:val="0"/>
          <w:numId w:val="2"/>
        </w:numPr>
        <w:spacing w:after="200" w:line="360"/>
        <w:ind w:left="720" w:hanging="360"/>
        <w:jc w:val="both"/>
      </w:pPr>
      <w:r>
        <w:rPr>
          <w:rFonts w:ascii="Times New Roman" w:cs="Times New Roman" w:eastAsia="Times New Roman" w:hAnsi="Times New Roman"/>
          <w:b/>
          <w:bCs/>
          <w:sz w:val="24"/>
          <w:szCs w:val="24"/>
        </w:rPr>
        <w:t xml:space="preserve">Does this decision serve the public interest, or does it primarily benefit a private or partisan interest?</w:t>
      </w:r>
      <w:r>
        <w:rPr>
          <w:rFonts w:ascii="Times New Roman" w:cs="Times New Roman" w:eastAsia="Times New Roman" w:hAnsi="Times New Roman"/>
          <w:sz w:val="24"/>
          <w:szCs w:val="24"/>
        </w:rPr>
        <w:t xml:space="preserve"> This question anchors the public servant's reasoning in the foundational purpose of governance. Frederickson (1997) argues that social equity and public interest are the twin pillars of ethical public administration. A decision that primarily advances the interests of a political patron, ethnic constituency, or personal network — at the expense of the broader public — is ethically indefensible regardless of its legal framing. Public servants must consistently interrogate whose interests are being served and at whose expense.</w:t>
      </w:r>
    </w:p>
    <w:p>
      <w:pPr>
        <w:pStyle w:val="ListParagraph"/>
        <w:numPr>
          <w:ilvl w:val="0"/>
          <w:numId w:val="2"/>
        </w:numPr>
        <w:spacing w:after="200" w:line="360"/>
        <w:ind w:left="720" w:hanging="360"/>
        <w:jc w:val="both"/>
      </w:pPr>
      <w:r>
        <w:rPr>
          <w:rFonts w:ascii="Times New Roman" w:cs="Times New Roman" w:eastAsia="Times New Roman" w:hAnsi="Times New Roman"/>
          <w:b/>
          <w:bCs/>
          <w:sz w:val="24"/>
          <w:szCs w:val="24"/>
        </w:rPr>
        <w:t xml:space="preserve">Can this decision withstand public scrutiny and transparency?</w:t>
      </w:r>
      <w:r>
        <w:rPr>
          <w:rFonts w:ascii="Times New Roman" w:cs="Times New Roman" w:eastAsia="Times New Roman" w:hAnsi="Times New Roman"/>
          <w:sz w:val="24"/>
          <w:szCs w:val="24"/>
        </w:rPr>
        <w:t xml:space="preserve"> Transparency is both an ethical value and a governance instrument. If a public servant is unwilling or unable to disclose the basis of a decision to the public, this reluctance itself signals an ethical problem. The "sunlight test" — asking whether a decision would survive media coverage or parliamentary inquiry — is a practical heuristic for assessing its ethical legitimacy. In a democracy, accountability to the public is non-negotiable, and any decision made in secrecy that advantages a select few is presumptively suspect.</w:t>
      </w:r>
    </w:p>
    <w:p>
      <w:pPr>
        <w:pStyle w:val="ListParagraph"/>
        <w:numPr>
          <w:ilvl w:val="0"/>
          <w:numId w:val="2"/>
        </w:numPr>
        <w:spacing w:after="200" w:line="360"/>
        <w:ind w:left="720" w:hanging="360"/>
        <w:jc w:val="both"/>
      </w:pPr>
      <w:r>
        <w:rPr>
          <w:rFonts w:ascii="Times New Roman" w:cs="Times New Roman" w:eastAsia="Times New Roman" w:hAnsi="Times New Roman"/>
          <w:b/>
          <w:bCs/>
          <w:sz w:val="24"/>
          <w:szCs w:val="24"/>
        </w:rPr>
        <w:t xml:space="preserve">Does this decision comply with the law, and does legal compliance exhaust my ethical obligation?</w:t>
      </w:r>
      <w:r>
        <w:rPr>
          <w:rFonts w:ascii="Times New Roman" w:cs="Times New Roman" w:eastAsia="Times New Roman" w:hAnsi="Times New Roman"/>
          <w:sz w:val="24"/>
          <w:szCs w:val="24"/>
        </w:rPr>
        <w:t xml:space="preserve"> Legal compliance is a necessary but insufficient condition for ethical conduct. Nigerian public servants must recognise that laws can be unjust, selectively enforced, or structurally biased. A decision that is technically legal but morally objectionable — such as implementing a budget allocation that systematically disadvantages a vulnerable group — may still constitute an ethical failure. Cooper (2012) emphasises that ethical public servants must go beyond procedural compliance to actively uphold justice and protect vulnerable populations.</w:t>
      </w:r>
    </w:p>
    <w:p>
      <w:pPr>
        <w:pStyle w:val="ListParagraph"/>
        <w:numPr>
          <w:ilvl w:val="0"/>
          <w:numId w:val="2"/>
        </w:numPr>
        <w:spacing w:after="200" w:line="360"/>
        <w:ind w:left="720" w:hanging="360"/>
        <w:jc w:val="both"/>
      </w:pPr>
      <w:r>
        <w:rPr>
          <w:rFonts w:ascii="Times New Roman" w:cs="Times New Roman" w:eastAsia="Times New Roman" w:hAnsi="Times New Roman"/>
          <w:b/>
          <w:bCs/>
          <w:sz w:val="24"/>
          <w:szCs w:val="24"/>
        </w:rPr>
        <w:t xml:space="preserve">What are the long-term consequences of this decision for governance, development, and public trust?</w:t>
      </w:r>
      <w:r>
        <w:rPr>
          <w:rFonts w:ascii="Times New Roman" w:cs="Times New Roman" w:eastAsia="Times New Roman" w:hAnsi="Times New Roman"/>
          <w:sz w:val="24"/>
          <w:szCs w:val="24"/>
        </w:rPr>
        <w:t xml:space="preserve"> Short-term political logic often prioritises visible, immediate outcomes — such as infrastructure projects timed to election cycles — over substantive, sustainable governance. A public servant committed to ethical decision-making must evaluate not only the immediate beneficiaries of a decision but its downstream effects on institutional integrity, public confidence, and developmental equity. Decisions that erode long-term governance capacity for short-term political gain are ethically corrosive, even when they generate momentary popularity.</w:t>
      </w:r>
    </w:p>
    <w:p>
      <w:pPr>
        <w:pStyle w:val="ListParagraph"/>
        <w:numPr>
          <w:ilvl w:val="0"/>
          <w:numId w:val="2"/>
        </w:numPr>
        <w:spacing w:after="200" w:line="360"/>
        <w:ind w:left="720" w:hanging="360"/>
        <w:jc w:val="both"/>
      </w:pPr>
      <w:r>
        <w:rPr>
          <w:rFonts w:ascii="Times New Roman" w:cs="Times New Roman" w:eastAsia="Times New Roman" w:hAnsi="Times New Roman"/>
          <w:b/>
          <w:bCs/>
          <w:sz w:val="24"/>
          <w:szCs w:val="24"/>
        </w:rPr>
        <w:t xml:space="preserve">Am I acting in accordance with my professional values and personal integrity, or am I rationalising a compromise?</w:t>
      </w:r>
      <w:r>
        <w:rPr>
          <w:rFonts w:ascii="Times New Roman" w:cs="Times New Roman" w:eastAsia="Times New Roman" w:hAnsi="Times New Roman"/>
          <w:sz w:val="24"/>
          <w:szCs w:val="24"/>
        </w:rPr>
        <w:t xml:space="preserve"> Ethical rationalisation — the cognitive process by which individuals convince themselves that ethically problematic behaviour is justified — is a pervasive phenomenon in bureaucratic settings. Public servants must cultivate a reflective awareness of their own rationalisation tendencies, particularly when institutional or political pressure encourages conformity with unethical norms. Virtue ethics, as articulated by MacIntyre (1981) and applied to public administration by Dobel (1999), calls for the cultivation of practical wisdom (phronesis) — the capacity to discern right action in complex situations and to act with courage and integrity even when the institutional climate discourages it.</w:t>
      </w:r>
    </w:p>
    <w:p>
      <w:pPr>
        <w:pStyle w:val="Heading1"/>
        <w:spacing w:before="300" w:after="150"/>
      </w:pPr>
      <w:r>
        <w:rPr>
          <w:rFonts w:ascii="Times New Roman" w:cs="Times New Roman" w:eastAsia="Times New Roman" w:hAnsi="Times New Roman"/>
          <w:b/>
          <w:bCs/>
          <w:sz w:val="28"/>
          <w:szCs w:val="28"/>
        </w:rPr>
        <w:t xml:space="preserve">4. The Tension Between Short-Term Political Objectives and Long-Term Governance Values</w:t>
      </w:r>
    </w:p>
    <w:p>
      <w:pPr>
        <w:pStyle w:val="Heading2"/>
        <w:spacing w:before="240" w:after="120"/>
      </w:pPr>
      <w:r>
        <w:rPr>
          <w:rFonts w:ascii="Times New Roman" w:cs="Times New Roman" w:eastAsia="Times New Roman" w:hAnsi="Times New Roman"/>
          <w:b/>
          <w:bCs/>
          <w:sz w:val="24"/>
          <w:szCs w:val="24"/>
        </w:rPr>
        <w:t xml:space="preserve">4.1 The Nature of the Tension</w:t>
      </w:r>
    </w:p>
    <w:p>
      <w:pPr>
        <w:spacing w:after="200" w:line="360"/>
        <w:jc w:val="both"/>
      </w:pPr>
      <w:r>
        <w:rPr>
          <w:rFonts w:ascii="Times New Roman" w:cs="Times New Roman" w:eastAsia="Times New Roman" w:hAnsi="Times New Roman"/>
          <w:sz w:val="24"/>
          <w:szCs w:val="24"/>
        </w:rPr>
        <w:t xml:space="preserve">Perhaps the most structurally embedded ethical tension in Nigerian public administration is the conflict between the temporal horizons of political actors and those of developmental governance. Politicians operate within four-year electoral cycles, creating powerful incentives to prioritise visible, short-term expenditures that maximise electoral returns over long-term investments in institutional capacity, regulatory infrastructure, and human capital development. This temporal mismatch between political and developmental timelines is not unique to Nigeria — it is a universal feature of electoral democracies — but it is particularly acute in contexts where state institutions are weak, civil society oversight is limited, and political accountability mechanisms are underdeveloped.</w:t>
      </w:r>
    </w:p>
    <w:p>
      <w:pPr>
        <w:spacing w:after="200" w:line="360"/>
        <w:jc w:val="both"/>
      </w:pPr>
      <w:r>
        <w:rPr>
          <w:rFonts w:ascii="Times New Roman" w:cs="Times New Roman" w:eastAsia="Times New Roman" w:hAnsi="Times New Roman"/>
          <w:sz w:val="24"/>
          <w:szCs w:val="24"/>
        </w:rPr>
        <w:t xml:space="preserve">The consequences of this tension are manifested in several observable patterns: the initiation of capital projects that are abandoned after elections; the appointment of technically unqualified loyalists to critical positions; the inflation of recurrent expenditure for patronage purposes while capital budgets remain unimplemented; and the selective enforcement of anti-corruption measures against political opponents while allied actors enjoy immunity. Each of these patterns represents a subordination of long-term governance values — effectiveness, efficiency, equity, and sustainability — to short-term political calculations.</w:t>
      </w:r>
    </w:p>
    <w:p>
      <w:pPr>
        <w:pStyle w:val="Heading2"/>
        <w:spacing w:before="240" w:after="120"/>
      </w:pPr>
      <w:r>
        <w:rPr>
          <w:rFonts w:ascii="Times New Roman" w:cs="Times New Roman" w:eastAsia="Times New Roman" w:hAnsi="Times New Roman"/>
          <w:b/>
          <w:bCs/>
          <w:sz w:val="24"/>
          <w:szCs w:val="24"/>
        </w:rPr>
        <w:t xml:space="preserve">4.2 Institutional and Cultural Dimensions</w:t>
      </w:r>
    </w:p>
    <w:p>
      <w:pPr>
        <w:spacing w:after="200" w:line="360"/>
        <w:jc w:val="both"/>
      </w:pPr>
      <w:r>
        <w:rPr>
          <w:rFonts w:ascii="Times New Roman" w:cs="Times New Roman" w:eastAsia="Times New Roman" w:hAnsi="Times New Roman"/>
          <w:sz w:val="24"/>
          <w:szCs w:val="24"/>
        </w:rPr>
        <w:t xml:space="preserve">The tension is further compounded by cultural norms that conflate political loyalty with ethical obligation. In many parts of Nigeria, the expectation that public servants will prioritise the interests of their appointing authority over neutral administrative principles is deeply embedded in patronage networks that transcend formal institutional boundaries. This creates a dual ethical burden for public servants: they must not only resist explicit directives to act unethically but must also navigate the implicit social and professional costs of non-compliance with patronage expectations.</w:t>
      </w:r>
    </w:p>
    <w:p>
      <w:pPr>
        <w:spacing w:after="200" w:line="360"/>
        <w:jc w:val="both"/>
      </w:pPr>
      <w:r>
        <w:rPr>
          <w:rFonts w:ascii="Times New Roman" w:cs="Times New Roman" w:eastAsia="Times New Roman" w:hAnsi="Times New Roman"/>
          <w:sz w:val="24"/>
          <w:szCs w:val="24"/>
        </w:rPr>
        <w:t xml:space="preserve">Eme and Onyishi (2014) note that this patronage culture is sustained by the absence of meritocratic appointment and promotion systems, the inadequacy of civil service salaries (which create financial dependence on informal rents), and the weakness of professional identity among Nigerian public servants. Addressing the political-governance tension therefore requires both institutional reform and cultural transformation.</w:t>
      </w:r>
    </w:p>
    <w:p>
      <w:pPr>
        <w:pStyle w:val="Heading1"/>
        <w:spacing w:before="300" w:after="150"/>
      </w:pPr>
      <w:r>
        <w:rPr>
          <w:rFonts w:ascii="Times New Roman" w:cs="Times New Roman" w:eastAsia="Times New Roman" w:hAnsi="Times New Roman"/>
          <w:b/>
          <w:bCs/>
          <w:sz w:val="28"/>
          <w:szCs w:val="28"/>
        </w:rPr>
        <w:t xml:space="preserve">5. A Proposed Ethical Framework for Nigerian Public Administration</w:t>
      </w:r>
    </w:p>
    <w:p>
      <w:pPr>
        <w:pStyle w:val="Heading2"/>
        <w:spacing w:before="240" w:after="120"/>
      </w:pPr>
      <w:r>
        <w:rPr>
          <w:rFonts w:ascii="Times New Roman" w:cs="Times New Roman" w:eastAsia="Times New Roman" w:hAnsi="Times New Roman"/>
          <w:b/>
          <w:bCs/>
          <w:sz w:val="24"/>
          <w:szCs w:val="24"/>
        </w:rPr>
        <w:t xml:space="preserve">5.1 Foundational Principles</w:t>
      </w:r>
    </w:p>
    <w:p>
      <w:pPr>
        <w:spacing w:after="200" w:line="360"/>
        <w:jc w:val="both"/>
      </w:pPr>
      <w:r>
        <w:rPr>
          <w:rFonts w:ascii="Times New Roman" w:cs="Times New Roman" w:eastAsia="Times New Roman" w:hAnsi="Times New Roman"/>
          <w:sz w:val="24"/>
          <w:szCs w:val="24"/>
        </w:rPr>
        <w:t xml:space="preserve">In response to the tensions and challenges identified above, the following ethical framework is proposed for Nigerian public administration. The framework is built on four interlocking pillars: procedural integrity, institutional transparency, participatory accountability, and value-based leadership. It draws eclectically from deontological ethics (which emphasises the intrinsic rightness of actions based on rules and duties), consequentialist ethics (which evaluates actions based on their outcomes for public welfare), virtue ethics (which foregrounds the character and motivations of the decision-maker), and public interest theory (which anchors administrative ethics in the sovereign claim of the citizenry).</w:t>
      </w:r>
    </w:p>
    <w:p>
      <w:pPr>
        <w:pStyle w:val="Heading2"/>
        <w:spacing w:before="240" w:after="120"/>
      </w:pPr>
      <w:r>
        <w:rPr>
          <w:rFonts w:ascii="Times New Roman" w:cs="Times New Roman" w:eastAsia="Times New Roman" w:hAnsi="Times New Roman"/>
          <w:b/>
          <w:bCs/>
          <w:sz w:val="24"/>
          <w:szCs w:val="24"/>
        </w:rPr>
        <w:t xml:space="preserve">5.2 Pillar One: Procedural Integrity</w:t>
      </w:r>
    </w:p>
    <w:p>
      <w:pPr>
        <w:spacing w:after="200" w:line="360"/>
        <w:jc w:val="both"/>
      </w:pPr>
      <w:r>
        <w:rPr>
          <w:rFonts w:ascii="Times New Roman" w:cs="Times New Roman" w:eastAsia="Times New Roman" w:hAnsi="Times New Roman"/>
          <w:sz w:val="24"/>
          <w:szCs w:val="24"/>
        </w:rPr>
        <w:t xml:space="preserve">Procedural integrity requires the consistent application of transparent, rule-bound processes in all administrative decisions, irrespective of political pressure. This pillar mandates the operationalisation of due process in procurement, appointment, policy implementation, and resource allocation. It requires the strengthening of internal audit functions, the independence of the Code of Conduct Bureau, and the creation of protected channels for whistleblowers. Without procedural integrity, the other pillars of the framework lack operational grounding.</w:t>
      </w:r>
    </w:p>
    <w:p>
      <w:pPr>
        <w:pStyle w:val="Heading2"/>
        <w:spacing w:before="240" w:after="120"/>
      </w:pPr>
      <w:r>
        <w:rPr>
          <w:rFonts w:ascii="Times New Roman" w:cs="Times New Roman" w:eastAsia="Times New Roman" w:hAnsi="Times New Roman"/>
          <w:b/>
          <w:bCs/>
          <w:sz w:val="24"/>
          <w:szCs w:val="24"/>
        </w:rPr>
        <w:t xml:space="preserve">5.3 Pillar Two: Institutional Transparency</w:t>
      </w:r>
    </w:p>
    <w:p>
      <w:pPr>
        <w:spacing w:after="200" w:line="360"/>
        <w:jc w:val="both"/>
      </w:pPr>
      <w:r>
        <w:rPr>
          <w:rFonts w:ascii="Times New Roman" w:cs="Times New Roman" w:eastAsia="Times New Roman" w:hAnsi="Times New Roman"/>
          <w:sz w:val="24"/>
          <w:szCs w:val="24"/>
        </w:rPr>
        <w:t xml:space="preserve">Transparency is the connective tissue between administrative processes and public trust. This pillar requires the proactive publication of budget allocations, procurement contracts, audit reports, and performance data — not merely in response to Freedom of Information Act requests but as a standard feature of governance practice. Digital platforms and open data portals, as increasingly implemented in countries such as South Africa and Kenya, offer practical models for Nigeria to emulate. Transparency does not eliminate political pressure, but it raises the cost of unethical conduct by increasing the visibility of misconduct to civil society, the media, and oversight institutions.</w:t>
      </w:r>
    </w:p>
    <w:p>
      <w:pPr>
        <w:pStyle w:val="Heading2"/>
        <w:spacing w:before="240" w:after="120"/>
      </w:pPr>
      <w:r>
        <w:rPr>
          <w:rFonts w:ascii="Times New Roman" w:cs="Times New Roman" w:eastAsia="Times New Roman" w:hAnsi="Times New Roman"/>
          <w:b/>
          <w:bCs/>
          <w:sz w:val="24"/>
          <w:szCs w:val="24"/>
        </w:rPr>
        <w:t xml:space="preserve">5.4 Pillar Three: Participatory Accountability</w:t>
      </w:r>
    </w:p>
    <w:p>
      <w:pPr>
        <w:spacing w:after="200" w:line="360"/>
        <w:jc w:val="both"/>
      </w:pPr>
      <w:r>
        <w:rPr>
          <w:rFonts w:ascii="Times New Roman" w:cs="Times New Roman" w:eastAsia="Times New Roman" w:hAnsi="Times New Roman"/>
          <w:sz w:val="24"/>
          <w:szCs w:val="24"/>
        </w:rPr>
        <w:t xml:space="preserve">Accountability in this framework is not conceived merely as a top-down mechanism (from civil servants to political principals) but as a multi-directional obligation that includes horizontal accountability to peers and oversight bodies, and downward accountability to citizens. Participatory accountability mechanisms — such as community scorecards, public expenditure tracking surveys, and citizens' assemblies — empower communities to hold public servants directly accountable for the delivery of services. Rosenbloom et al. (2015) argue that participatory governance not only improves service delivery outcomes but generates a form of social legitimacy that is far more durable than political endorsement.</w:t>
      </w:r>
    </w:p>
    <w:p>
      <w:pPr>
        <w:pStyle w:val="Heading2"/>
        <w:spacing w:before="240" w:after="120"/>
      </w:pPr>
      <w:r>
        <w:rPr>
          <w:rFonts w:ascii="Times New Roman" w:cs="Times New Roman" w:eastAsia="Times New Roman" w:hAnsi="Times New Roman"/>
          <w:b/>
          <w:bCs/>
          <w:sz w:val="24"/>
          <w:szCs w:val="24"/>
        </w:rPr>
        <w:t xml:space="preserve">5.5 Pillar Four: Value-Based Leadership</w:t>
      </w:r>
    </w:p>
    <w:p>
      <w:pPr>
        <w:spacing w:after="200" w:line="360"/>
        <w:jc w:val="both"/>
      </w:pPr>
      <w:r>
        <w:rPr>
          <w:rFonts w:ascii="Times New Roman" w:cs="Times New Roman" w:eastAsia="Times New Roman" w:hAnsi="Times New Roman"/>
          <w:sz w:val="24"/>
          <w:szCs w:val="24"/>
        </w:rPr>
        <w:t xml:space="preserve">The final pillar recognises that institutional reforms, however well designed, are insufficient without public servants who possess the personal values and professional courage to implement them against political resistance. Value-based leadership, as articulated by Dobel (1999), calls for public servants who are anchored in a clear ethical identity, capable of distinguishing professional duty from personal loyalty, and committed to the public interest as a transcendent obligation. This requires investment in ethics education at all levels of the civil service, the integration of ethical competency into performance appraisal systems, and the cultivation of professional communities of practice that sustain ethical norms across generations of public servants.</w:t>
      </w:r>
    </w:p>
    <w:p>
      <w:pPr>
        <w:pStyle w:val="Heading2"/>
        <w:spacing w:before="240" w:after="120"/>
      </w:pPr>
      <w:r>
        <w:rPr>
          <w:rFonts w:ascii="Times New Roman" w:cs="Times New Roman" w:eastAsia="Times New Roman" w:hAnsi="Times New Roman"/>
          <w:b/>
          <w:bCs/>
          <w:sz w:val="24"/>
          <w:szCs w:val="24"/>
        </w:rPr>
        <w:t xml:space="preserve">5.6 Addressing the Political-Governance Tension</w:t>
      </w:r>
    </w:p>
    <w:p>
      <w:pPr>
        <w:spacing w:after="200" w:line="360"/>
        <w:jc w:val="both"/>
      </w:pPr>
      <w:r>
        <w:rPr>
          <w:rFonts w:ascii="Times New Roman" w:cs="Times New Roman" w:eastAsia="Times New Roman" w:hAnsi="Times New Roman"/>
          <w:sz w:val="24"/>
          <w:szCs w:val="24"/>
        </w:rPr>
        <w:t xml:space="preserve">The framework addresses the tension between short-term political objectives and long-term governance values through two complementary mechanisms. First, it institutionalises long-term planning horizons by embedding multi-year strategic frameworks — such as national development plans and sector master plans — into the budget cycle in ways that constrain year-to-year political discretion. Second, it establishes depoliticised technical agencies with independent mandates in critical areas such as infrastructure, revenue management, and social investment, insulating key governance functions from electoral pressures. The success of institutions like the Nigerian Sovereign Investment Authority provides a partial template for this approach, though its scope must be substantially broadened.</w:t>
      </w:r>
    </w:p>
    <w:p>
      <w:pPr>
        <w:pStyle w:val="Heading1"/>
        <w:spacing w:before="300" w:after="150"/>
      </w:pPr>
      <w:r>
        <w:rPr>
          <w:rFonts w:ascii="Times New Roman" w:cs="Times New Roman" w:eastAsia="Times New Roman" w:hAnsi="Times New Roman"/>
          <w:b/>
          <w:bCs/>
          <w:sz w:val="28"/>
          <w:szCs w:val="28"/>
        </w:rPr>
        <w:t xml:space="preserve">6. Conclusion</w:t>
      </w:r>
    </w:p>
    <w:p>
      <w:pPr>
        <w:spacing w:after="200" w:line="360"/>
        <w:jc w:val="both"/>
      </w:pPr>
      <w:r>
        <w:rPr>
          <w:rFonts w:ascii="Times New Roman" w:cs="Times New Roman" w:eastAsia="Times New Roman" w:hAnsi="Times New Roman"/>
          <w:sz w:val="24"/>
          <w:szCs w:val="24"/>
        </w:rPr>
        <w:t xml:space="preserve">The ethical challenges confronting Nigerian public administration are structural, cultural, and individual in character, and they resist resolution through any single instrument. This paper has argued that a comprehensive response requires a critical understanding of the ethical implications of decision-making, a set of guiding self-reflective questions that anchor public servants in principled reasoning, and a multi-pillar ethical framework that simultaneously addresses procedural, institutional, participatory, and leadership dimensions of governance.</w:t>
      </w:r>
    </w:p>
    <w:p>
      <w:pPr>
        <w:spacing w:after="200" w:line="360"/>
        <w:jc w:val="both"/>
      </w:pPr>
      <w:r>
        <w:rPr>
          <w:rFonts w:ascii="Times New Roman" w:cs="Times New Roman" w:eastAsia="Times New Roman" w:hAnsi="Times New Roman"/>
          <w:sz w:val="24"/>
          <w:szCs w:val="24"/>
        </w:rPr>
        <w:t xml:space="preserve">The five critical questions proposed in this analysis — centred on public interest, transparency, legal sufficiency, long-term consequences, and personal integrity — are not formulaic checklists but prompts for the kind of substantive ethical reflection that effective public service demands. The ethical framework, for its part, is designed not as an abstract ideal but as a practical architecture for governance reform that takes seriously both the political realities of the Nigerian context and the imperative of institutional transformation.</w:t>
      </w:r>
    </w:p>
    <w:p>
      <w:pPr>
        <w:spacing w:after="200" w:line="360"/>
        <w:jc w:val="both"/>
      </w:pPr>
      <w:r>
        <w:rPr>
          <w:rFonts w:ascii="Times New Roman" w:cs="Times New Roman" w:eastAsia="Times New Roman" w:hAnsi="Times New Roman"/>
          <w:sz w:val="24"/>
          <w:szCs w:val="24"/>
        </w:rPr>
        <w:t xml:space="preserve">Ultimately, the preservation of public trust in Nigeria's administrative system is contingent not only on the enactment of better laws or the creation of more oversight bodies, but on the cultivation of a public service culture in which ethical conduct is both intrinsically valued and institutionally rewarded. This cultural transformation is a long-term project — but it is also, as this analysis has sought to demonstrate, an indispensable one.</w:t>
      </w:r>
    </w:p>
    <w:p>
      <w:pPr>
        <w:pStyle w:val="Heading1"/>
        <w:spacing w:before="300" w:after="150"/>
      </w:pPr>
      <w:r>
        <w:rPr>
          <w:rFonts w:ascii="Times New Roman" w:cs="Times New Roman" w:eastAsia="Times New Roman" w:hAnsi="Times New Roman"/>
          <w:b/>
          <w:bCs/>
          <w:sz w:val="28"/>
          <w:szCs w:val="28"/>
        </w:rPr>
        <w:t xml:space="preserve">References</w:t>
      </w:r>
    </w:p>
    <w:p>
      <w:pPr>
        <w:spacing w:after="200" w:line="360"/>
        <w:jc w:val="both"/>
      </w:pPr>
      <w:r>
        <w:rPr>
          <w:rFonts w:ascii="Times New Roman" w:cs="Times New Roman" w:eastAsia="Times New Roman" w:hAnsi="Times New Roman"/>
          <w:sz w:val="24"/>
          <w:szCs w:val="24"/>
        </w:rPr>
        <w:t xml:space="preserve">Cooper, T. L. (2012). The Responsible Administrator: An Approach to Ethics for the Administrative Role (6th ed.). Jossey-Bass.</w:t>
      </w:r>
    </w:p>
    <w:p>
      <w:pPr>
        <w:spacing w:after="200" w:line="360"/>
        <w:jc w:val="both"/>
      </w:pPr>
      <w:r>
        <w:rPr>
          <w:rFonts w:ascii="Times New Roman" w:cs="Times New Roman" w:eastAsia="Times New Roman" w:hAnsi="Times New Roman"/>
          <w:sz w:val="24"/>
          <w:szCs w:val="24"/>
        </w:rPr>
        <w:t xml:space="preserve">Dobel, J. P. (1999). Public Integrity. Johns Hopkins University Press.</w:t>
      </w:r>
    </w:p>
    <w:p>
      <w:pPr>
        <w:spacing w:after="200" w:line="360"/>
        <w:jc w:val="both"/>
      </w:pPr>
      <w:r>
        <w:rPr>
          <w:rFonts w:ascii="Times New Roman" w:cs="Times New Roman" w:eastAsia="Times New Roman" w:hAnsi="Times New Roman"/>
          <w:sz w:val="24"/>
          <w:szCs w:val="24"/>
        </w:rPr>
        <w:t xml:space="preserve">Eme, O. I., &amp; Onyishi, A. O. (2014). The challenges of public administration and governance in Nigeria. Arabian Journal of Business and Management Review, 3(12), 1–12.</w:t>
      </w:r>
    </w:p>
    <w:p>
      <w:pPr>
        <w:spacing w:after="200" w:line="360"/>
        <w:jc w:val="both"/>
      </w:pPr>
      <w:r>
        <w:rPr>
          <w:rFonts w:ascii="Times New Roman" w:cs="Times New Roman" w:eastAsia="Times New Roman" w:hAnsi="Times New Roman"/>
          <w:sz w:val="24"/>
          <w:szCs w:val="24"/>
        </w:rPr>
        <w:t xml:space="preserve">Frederickson, H. G. (1997). The Spirit of Public Administration. Jossey-Bass.</w:t>
      </w:r>
    </w:p>
    <w:p>
      <w:pPr>
        <w:spacing w:after="200" w:line="360"/>
        <w:jc w:val="both"/>
      </w:pPr>
      <w:r>
        <w:rPr>
          <w:rFonts w:ascii="Times New Roman" w:cs="Times New Roman" w:eastAsia="Times New Roman" w:hAnsi="Times New Roman"/>
          <w:sz w:val="24"/>
          <w:szCs w:val="24"/>
        </w:rPr>
        <w:t xml:space="preserve">MacIntyre, A. (1981). After Virtue: A Study in Moral Theory. University of Notre Dame Press.</w:t>
      </w:r>
    </w:p>
    <w:p>
      <w:pPr>
        <w:spacing w:after="200" w:line="360"/>
        <w:jc w:val="both"/>
      </w:pPr>
      <w:r>
        <w:rPr>
          <w:rFonts w:ascii="Times New Roman" w:cs="Times New Roman" w:eastAsia="Times New Roman" w:hAnsi="Times New Roman"/>
          <w:sz w:val="24"/>
          <w:szCs w:val="24"/>
        </w:rPr>
        <w:t xml:space="preserve">Rosenbloom, D. H., Kravchuk, R. S., &amp; Clerkin, R. M. (2015). Public Administration: Understanding Management, Politics, and Law in the Public Sector (8th ed.). McGraw-Hill Education.</w:t>
      </w:r>
    </w:p>
    <w:p>
      <w:pPr>
        <w:spacing w:after="200" w:line="360"/>
        <w:jc w:val="both"/>
      </w:pPr>
      <w:r>
        <w:rPr>
          <w:rFonts w:ascii="Times New Roman" w:cs="Times New Roman" w:eastAsia="Times New Roman" w:hAnsi="Times New Roman"/>
          <w:sz w:val="24"/>
          <w:szCs w:val="24"/>
        </w:rPr>
        <w:t xml:space="preserve">Transparency International. (2023). Corruption Perceptions Index 2023. https://www.transparency.org/en/cpi/2023</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2026-02-28T11:25:38.105Z</dcterms:created>
  <dcterms:modified xsi:type="dcterms:W3CDTF">2026-02-28T11:25:38.106Z</dcterms:modified>
</cp:coreProperties>
</file>

<file path=docProps/custom.xml><?xml version="1.0" encoding="utf-8"?>
<Properties xmlns="http://schemas.openxmlformats.org/officeDocument/2006/custom-properties" xmlns:vt="http://schemas.openxmlformats.org/officeDocument/2006/docPropsVTypes"/>
</file>