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5B6"/>
          <w:sz w:val="20"/>
          <w:szCs w:val="20"/>
        </w:rPr>
        <w:t xml:space="preserve">RESEARCH PAPER</w:t>
      </w:r>
    </w:p>
    <w:p>
      <w:pPr>
        <w:spacing w:after="160" w:before="0"/>
        <w:jc w:val="center"/>
      </w:pPr>
      <w:r>
        <w:rPr>
          <w:rFonts w:ascii="Arial" w:cs="Arial" w:eastAsia="Arial" w:hAnsi="Arial"/>
          <w:b/>
          <w:bCs/>
          <w:color w:val="1F3864"/>
          <w:sz w:val="40"/>
          <w:szCs w:val="40"/>
        </w:rPr>
        <w:t xml:space="preserve">Customer Segmentation &amp; Churn Pattern Analytics</w:t>
      </w:r>
    </w:p>
    <w:p>
      <w:pPr>
        <w:spacing w:after="80" w:before="0"/>
        <w:jc w:val="center"/>
      </w:pPr>
      <w:r>
        <w:rPr>
          <w:rFonts w:ascii="Arial" w:cs="Arial" w:eastAsia="Arial" w:hAnsi="Arial"/>
          <w:b/>
          <w:bCs/>
          <w:color w:val="1F3864"/>
          <w:sz w:val="36"/>
          <w:szCs w:val="36"/>
        </w:rPr>
        <w:t xml:space="preserve">in European Banking</w:t>
      </w:r>
    </w:p>
    <w:p>
      <w:pPr>
        <w:pBdr>
          <w:bottom w:val="single" w:color="2E75B6" w:sz="6" w:space="1"/>
        </w:pBdr>
        <w:spacing w:after="60" w:before="60"/>
      </w:pPr>
    </w:p>
    <w:p>
      <w:pPr>
        <w:spacing w:after="40" w:before="160"/>
        <w:jc w:val="center"/>
      </w:pPr>
      <w:r>
        <w:rPr>
          <w:rFonts w:ascii="Arial" w:cs="Arial" w:eastAsia="Arial" w:hAnsi="Arial"/>
          <w:i/>
          <w:iCs/>
          <w:color w:val="555555"/>
          <w:sz w:val="22"/>
          <w:szCs w:val="22"/>
        </w:rPr>
        <w:t xml:space="preserve">A Segmentation-Driven Analytical Study of Customer Churn Across</w:t>
      </w:r>
    </w:p>
    <w:p>
      <w:pPr>
        <w:spacing w:after="240" w:before="0"/>
        <w:jc w:val="center"/>
      </w:pPr>
      <w:r>
        <w:rPr>
          <w:rFonts w:ascii="Arial" w:cs="Arial" w:eastAsia="Arial" w:hAnsi="Arial"/>
          <w:i/>
          <w:iCs/>
          <w:color w:val="555555"/>
          <w:sz w:val="22"/>
          <w:szCs w:val="22"/>
        </w:rPr>
        <w:t xml:space="preserve">France, Spain, and Germany  |  Dataset: 10,000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Overall Churn Rate</w:t>
            </w:r>
          </w:p>
        </w:tc>
        <w:tc>
          <w:tcPr>
            <w:tcW w:type="dxa" w:w="3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24"/>
                <w:szCs w:val="24"/>
              </w:rPr>
              <w:t xml:space="preserve">20.4%</w:t>
            </w:r>
          </w:p>
        </w:tc>
      </w:tr>
      <w:tr>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Germany Churn Rate (Highest)</w:t>
            </w:r>
          </w:p>
        </w:tc>
        <w:tc>
          <w:tcPr>
            <w:tcW w:type="dxa" w:w="3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24"/>
                <w:szCs w:val="24"/>
              </w:rPr>
              <w:t xml:space="preserve">32.4%</w:t>
            </w:r>
          </w:p>
        </w:tc>
      </w:tr>
      <w:tr>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46–60 Age Group Churn (Peak)</w:t>
            </w:r>
          </w:p>
        </w:tc>
        <w:tc>
          <w:tcPr>
            <w:tcW w:type="dxa" w:w="3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24"/>
                <w:szCs w:val="24"/>
              </w:rPr>
              <w:t xml:space="preserve">51.1%</w:t>
            </w:r>
          </w:p>
        </w:tc>
      </w:tr>
      <w:tr>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High-Value Customer Churn</w:t>
            </w:r>
          </w:p>
        </w:tc>
        <w:tc>
          <w:tcPr>
            <w:tcW w:type="dxa" w:w="3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24"/>
                <w:szCs w:val="24"/>
              </w:rPr>
              <w:t xml:space="preserve">23.0%</w:t>
            </w:r>
          </w:p>
        </w:tc>
      </w:tr>
      <w:tr>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Revenue at Risk (Balance)</w:t>
            </w:r>
          </w:p>
        </w:tc>
        <w:tc>
          <w:tcPr>
            <w:tcW w:type="dxa" w:w="3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24"/>
                <w:szCs w:val="24"/>
              </w:rPr>
              <w:t xml:space="preserve">€58.7 Million</w:t>
            </w:r>
          </w:p>
        </w:tc>
      </w:tr>
      <w:tr>
        <w:tc>
          <w:tcPr>
            <w:tcW w:type="dxa" w:w="5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22"/>
                <w:szCs w:val="22"/>
              </w:rPr>
              <w:t xml:space="preserve">Inactive Member Churn Rate</w:t>
            </w:r>
          </w:p>
        </w:tc>
        <w:tc>
          <w:tcPr>
            <w:tcW w:type="dxa" w:w="3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24"/>
                <w:szCs w:val="24"/>
              </w:rPr>
              <w:t xml:space="preserve">26.9%</w:t>
            </w:r>
          </w:p>
        </w:tc>
      </w:tr>
    </w:tbl>
    <w:p>
      <w:pPr>
        <w:spacing w:after="80" w:before="0"/>
      </w:pPr>
      <w:r>
        <w:t xml:space="preserve"/>
      </w:r>
    </w:p>
    <w:p>
      <w:pPr>
        <w:spacing w:after="80" w:before="0"/>
      </w:pPr>
      <w:r>
        <w:t xml:space="preserve"/>
      </w:r>
    </w:p>
    <w:p>
      <w:r>
        <w:br w:type="page"/>
      </w:r>
    </w:p>
    <w:p>
      <w:pPr>
        <w:pStyle w:val="Heading1"/>
        <w:spacing w:after="120" w:before="320"/>
      </w:pPr>
      <w:r>
        <w:rPr>
          <w:rFonts w:ascii="Arial" w:cs="Arial" w:eastAsia="Arial" w:hAnsi="Arial"/>
          <w:b/>
          <w:bCs/>
          <w:color w:val="1F3864"/>
          <w:sz w:val="28"/>
          <w:szCs w:val="28"/>
        </w:rPr>
        <w:t xml:space="preserve">1. Abstract</w:t>
      </w:r>
    </w:p>
    <w:p>
      <w:pPr>
        <w:pBdr>
          <w:bottom w:val="single" w:color="2E75B6" w:sz="6" w:space="1"/>
        </w:pBdr>
        <w:spacing w:after="60" w:before="60"/>
      </w:pPr>
    </w:p>
    <w:p>
      <w:pPr>
        <w:spacing w:after="80" w:before="80" w:line="320"/>
        <w:jc w:val="both"/>
      </w:pPr>
      <w:r>
        <w:rPr>
          <w:rFonts w:ascii="Arial" w:cs="Arial" w:eastAsia="Arial" w:hAnsi="Arial"/>
          <w:sz w:val="22"/>
          <w:szCs w:val="22"/>
        </w:rPr>
        <w:t xml:space="preserve">Customer churn is one of the most critical and costly challenges facing modern retail banks. This paper presents a comprehensive, segmentation-driven analysis of customer churn patterns across a European banking dataset comprising 10,000 customers from France, Spain, and Germany. By systematically segmenting customers across geographic, demographic, financial, and behavioural dimensions, this study uncovers the key drivers of churn and quantifies churn risk across distinct customer profiles.</w:t>
      </w:r>
    </w:p>
    <w:p>
      <w:pPr>
        <w:spacing w:after="80" w:before="80" w:line="320"/>
        <w:jc w:val="both"/>
      </w:pPr>
      <w:r>
        <w:rPr>
          <w:rFonts w:ascii="Arial" w:cs="Arial" w:eastAsia="Arial" w:hAnsi="Arial"/>
          <w:sz w:val="22"/>
          <w:szCs w:val="22"/>
        </w:rPr>
        <w:t xml:space="preserve">The analysis reveals an overall churn rate of 20.4%, with significant variation across regions (Germany: 32.4%, France: 16.2%, Spain: 16.7%), age groups (46–60 years: 51.1%), and engagement status (inactive members: 26.9% vs active members: 14.3%). High-value customers — those in the top 25th percentile by account balance — exhibit a churn rate of 23.0%, with approximately €58.7 million in account balances at risk from churned premium customers. The study concludes with targeted, data-driven retention recommendations for banking decision-makers.</w:t>
      </w:r>
    </w:p>
    <w:p>
      <w:pPr>
        <w:spacing w:after="80" w:before="0"/>
      </w:pPr>
      <w:r>
        <w:t xml:space="preserve"/>
      </w:r>
    </w:p>
    <w:p>
      <w:pPr>
        <w:spacing w:after="80" w:before="80"/>
      </w:pPr>
      <w:r>
        <w:rPr>
          <w:rFonts w:ascii="Arial" w:cs="Arial" w:eastAsia="Arial" w:hAnsi="Arial"/>
          <w:b/>
          <w:bCs/>
          <w:color w:val="1F3864"/>
          <w:sz w:val="22"/>
          <w:szCs w:val="22"/>
        </w:rPr>
        <w:t xml:space="preserve">Keywords: </w:t>
      </w:r>
      <w:r>
        <w:rPr>
          <w:rFonts w:ascii="Arial" w:cs="Arial" w:eastAsia="Arial" w:hAnsi="Arial"/>
          <w:i/>
          <w:iCs/>
          <w:sz w:val="22"/>
          <w:szCs w:val="22"/>
        </w:rPr>
        <w:t xml:space="preserve">Customer Churn, Segmentation Analytics, European Banking, Retention Strategy, Predictive Analytics, Financial Risk</w:t>
      </w:r>
    </w:p>
    <w:p>
      <w:pPr>
        <w:pStyle w:val="Heading1"/>
        <w:spacing w:after="120" w:before="320"/>
      </w:pPr>
      <w:r>
        <w:rPr>
          <w:rFonts w:ascii="Arial" w:cs="Arial" w:eastAsia="Arial" w:hAnsi="Arial"/>
          <w:b/>
          <w:bCs/>
          <w:color w:val="1F3864"/>
          <w:sz w:val="28"/>
          <w:szCs w:val="28"/>
        </w:rPr>
        <w:t xml:space="preserve">2. Introduction</w:t>
      </w:r>
    </w:p>
    <w:p>
      <w:pPr>
        <w:pBdr>
          <w:bottom w:val="single" w:color="2E75B6" w:sz="6" w:space="1"/>
        </w:pBdr>
        <w:spacing w:after="60" w:before="60"/>
      </w:pPr>
    </w:p>
    <w:p>
      <w:pPr>
        <w:pStyle w:val="Heading2"/>
        <w:spacing w:after="80" w:before="240"/>
      </w:pPr>
      <w:r>
        <w:rPr>
          <w:rFonts w:ascii="Arial" w:cs="Arial" w:eastAsia="Arial" w:hAnsi="Arial"/>
          <w:b/>
          <w:bCs/>
          <w:color w:val="2E75B6"/>
          <w:sz w:val="24"/>
          <w:szCs w:val="24"/>
        </w:rPr>
        <w:t xml:space="preserve">2.1 Background and Context</w:t>
      </w:r>
    </w:p>
    <w:p>
      <w:pPr>
        <w:spacing w:after="80" w:before="80" w:line="320"/>
        <w:jc w:val="both"/>
      </w:pPr>
      <w:r>
        <w:rPr>
          <w:rFonts w:ascii="Arial" w:cs="Arial" w:eastAsia="Arial" w:hAnsi="Arial"/>
          <w:sz w:val="22"/>
          <w:szCs w:val="22"/>
        </w:rPr>
        <w:t xml:space="preserve">In the highly competitive European banking sector, customer retention has emerged as a strategic priority. Acquiring a new customer costs five to seven times more than retaining an existing one, making churn prevention a direct contributor to profitability. Despite having access to rich customer-level data, many banks lack the granular segmentation insights required to answer critical questions: Which customer groups are most likely to churn? How does churn behaviour differ across geographies, age groups, and financial profiles? Is churn concentrated among high-value or low-value customers?</w:t>
      </w:r>
    </w:p>
    <w:p>
      <w:pPr>
        <w:spacing w:after="80" w:before="80" w:line="320"/>
        <w:jc w:val="both"/>
      </w:pPr>
      <w:r>
        <w:rPr>
          <w:rFonts w:ascii="Arial" w:cs="Arial" w:eastAsia="Arial" w:hAnsi="Arial"/>
          <w:sz w:val="22"/>
          <w:szCs w:val="22"/>
        </w:rPr>
        <w:t xml:space="preserve">Without structured analytics, churn management strategies remain generic, reactive, and ultimately inefficient. This project addresses these gaps through systematic, segmentation-driven analytics applied to a dataset of 10,000 European banking customers.</w:t>
      </w:r>
    </w:p>
    <w:p>
      <w:pPr>
        <w:pStyle w:val="Heading2"/>
        <w:spacing w:after="80" w:before="240"/>
      </w:pPr>
      <w:r>
        <w:rPr>
          <w:rFonts w:ascii="Arial" w:cs="Arial" w:eastAsia="Arial" w:hAnsi="Arial"/>
          <w:b/>
          <w:bCs/>
          <w:color w:val="2E75B6"/>
          <w:sz w:val="24"/>
          <w:szCs w:val="24"/>
        </w:rPr>
        <w:t xml:space="preserve">2.2 Problem Statement</w:t>
      </w:r>
    </w:p>
    <w:p>
      <w:pPr>
        <w:spacing w:after="80" w:before="80" w:line="320"/>
        <w:jc w:val="both"/>
      </w:pPr>
      <w:r>
        <w:rPr>
          <w:rFonts w:ascii="Arial" w:cs="Arial" w:eastAsia="Arial" w:hAnsi="Arial"/>
          <w:sz w:val="22"/>
          <w:szCs w:val="22"/>
        </w:rPr>
        <w:t xml:space="preserve">Banks face three core analytical challenges:</w:t>
      </w:r>
    </w:p>
    <w:p>
      <w:pPr>
        <w:pStyle w:val="ListParagraph"/>
        <w:numPr>
          <w:ilvl w:val="0"/>
          <w:numId w:val="2"/>
        </w:numPr>
        <w:spacing w:after="40" w:before="40"/>
      </w:pPr>
      <w:r>
        <w:rPr>
          <w:rFonts w:ascii="Arial" w:cs="Arial" w:eastAsia="Arial" w:hAnsi="Arial"/>
          <w:sz w:val="22"/>
          <w:szCs w:val="22"/>
        </w:rPr>
        <w:t xml:space="preserve">Identifying high-risk customer segments before they churn</w:t>
      </w:r>
    </w:p>
    <w:p>
      <w:pPr>
        <w:pStyle w:val="ListParagraph"/>
        <w:numPr>
          <w:ilvl w:val="0"/>
          <w:numId w:val="2"/>
        </w:numPr>
        <w:spacing w:after="40" w:before="40"/>
      </w:pPr>
      <w:r>
        <w:rPr>
          <w:rFonts w:ascii="Arial" w:cs="Arial" w:eastAsia="Arial" w:hAnsi="Arial"/>
          <w:sz w:val="22"/>
          <w:szCs w:val="22"/>
        </w:rPr>
        <w:t xml:space="preserve">Understanding how churn differences manifest across geography and demographics</w:t>
      </w:r>
    </w:p>
    <w:p>
      <w:pPr>
        <w:pStyle w:val="ListParagraph"/>
        <w:numPr>
          <w:ilvl w:val="0"/>
          <w:numId w:val="2"/>
        </w:numPr>
        <w:spacing w:after="40" w:before="40"/>
      </w:pPr>
      <w:r>
        <w:rPr>
          <w:rFonts w:ascii="Arial" w:cs="Arial" w:eastAsia="Arial" w:hAnsi="Arial"/>
          <w:sz w:val="22"/>
          <w:szCs w:val="22"/>
        </w:rPr>
        <w:t xml:space="preserve">Quantifying the financial profile and revenue impact of churned customers</w:t>
      </w:r>
    </w:p>
    <w:p>
      <w:pPr>
        <w:pStyle w:val="Heading2"/>
        <w:spacing w:after="80" w:before="240"/>
      </w:pPr>
      <w:r>
        <w:rPr>
          <w:rFonts w:ascii="Arial" w:cs="Arial" w:eastAsia="Arial" w:hAnsi="Arial"/>
          <w:b/>
          <w:bCs/>
          <w:color w:val="2E75B6"/>
          <w:sz w:val="24"/>
          <w:szCs w:val="24"/>
        </w:rPr>
        <w:t xml:space="preserve">2.3 Project Objectives</w:t>
      </w:r>
    </w:p>
    <w:p>
      <w:pPr>
        <w:spacing w:after="80" w:before="80" w:line="320"/>
        <w:jc w:val="both"/>
      </w:pPr>
      <w:r>
        <w:rPr>
          <w:rFonts w:ascii="Arial" w:cs="Arial" w:eastAsia="Arial" w:hAnsi="Arial"/>
          <w:sz w:val="22"/>
          <w:szCs w:val="22"/>
        </w:rPr>
        <w:t xml:space="preserve">Primary objectives:</w:t>
      </w:r>
    </w:p>
    <w:p>
      <w:pPr>
        <w:pStyle w:val="ListParagraph"/>
        <w:numPr>
          <w:ilvl w:val="0"/>
          <w:numId w:val="2"/>
        </w:numPr>
        <w:spacing w:after="40" w:before="40"/>
      </w:pPr>
      <w:r>
        <w:rPr>
          <w:rFonts w:ascii="Arial" w:cs="Arial" w:eastAsia="Arial" w:hAnsi="Arial"/>
          <w:sz w:val="22"/>
          <w:szCs w:val="22"/>
        </w:rPr>
        <w:t xml:space="preserve">Measure and benchmark the overall churn rate across the dataset</w:t>
      </w:r>
    </w:p>
    <w:p>
      <w:pPr>
        <w:pStyle w:val="ListParagraph"/>
        <w:numPr>
          <w:ilvl w:val="0"/>
          <w:numId w:val="2"/>
        </w:numPr>
        <w:spacing w:after="40" w:before="40"/>
      </w:pPr>
      <w:r>
        <w:rPr>
          <w:rFonts w:ascii="Arial" w:cs="Arial" w:eastAsia="Arial" w:hAnsi="Arial"/>
          <w:sz w:val="22"/>
          <w:szCs w:val="22"/>
        </w:rPr>
        <w:t xml:space="preserve">Identify churn distribution patterns across customer segments</w:t>
      </w:r>
    </w:p>
    <w:p>
      <w:pPr>
        <w:pStyle w:val="ListParagraph"/>
        <w:numPr>
          <w:ilvl w:val="0"/>
          <w:numId w:val="2"/>
        </w:numPr>
        <w:spacing w:after="40" w:before="40"/>
      </w:pPr>
      <w:r>
        <w:rPr>
          <w:rFonts w:ascii="Arial" w:cs="Arial" w:eastAsia="Arial" w:hAnsi="Arial"/>
          <w:sz w:val="22"/>
          <w:szCs w:val="22"/>
        </w:rPr>
        <w:t xml:space="preserve">Compare churn behaviour across European regions (France, Spain, Germany)</w:t>
      </w:r>
    </w:p>
    <w:p>
      <w:pPr>
        <w:spacing w:after="80" w:before="0"/>
      </w:pPr>
      <w:r>
        <w:t xml:space="preserve"/>
      </w:r>
    </w:p>
    <w:p>
      <w:pPr>
        <w:spacing w:after="80" w:before="80" w:line="320"/>
        <w:jc w:val="both"/>
      </w:pPr>
      <w:r>
        <w:rPr>
          <w:rFonts w:ascii="Arial" w:cs="Arial" w:eastAsia="Arial" w:hAnsi="Arial"/>
          <w:sz w:val="22"/>
          <w:szCs w:val="22"/>
        </w:rPr>
        <w:t xml:space="preserve">Secondary objectives:</w:t>
      </w:r>
    </w:p>
    <w:p>
      <w:pPr>
        <w:pStyle w:val="ListParagraph"/>
        <w:numPr>
          <w:ilvl w:val="0"/>
          <w:numId w:val="2"/>
        </w:numPr>
        <w:spacing w:after="40" w:before="40"/>
      </w:pPr>
      <w:r>
        <w:rPr>
          <w:rFonts w:ascii="Arial" w:cs="Arial" w:eastAsia="Arial" w:hAnsi="Arial"/>
          <w:sz w:val="22"/>
          <w:szCs w:val="22"/>
        </w:rPr>
        <w:t xml:space="preserve">Understand churn patterns among high-value customers</w:t>
      </w:r>
    </w:p>
    <w:p>
      <w:pPr>
        <w:pStyle w:val="ListParagraph"/>
        <w:numPr>
          <w:ilvl w:val="0"/>
          <w:numId w:val="2"/>
        </w:numPr>
        <w:spacing w:after="40" w:before="40"/>
      </w:pPr>
      <w:r>
        <w:rPr>
          <w:rFonts w:ascii="Arial" w:cs="Arial" w:eastAsia="Arial" w:hAnsi="Arial"/>
          <w:sz w:val="22"/>
          <w:szCs w:val="22"/>
        </w:rPr>
        <w:t xml:space="preserve">Evaluate the relationship between member engagement and churn</w:t>
      </w:r>
    </w:p>
    <w:p>
      <w:pPr>
        <w:pStyle w:val="ListParagraph"/>
        <w:numPr>
          <w:ilvl w:val="0"/>
          <w:numId w:val="2"/>
        </w:numPr>
        <w:spacing w:after="40" w:before="40"/>
      </w:pPr>
      <w:r>
        <w:rPr>
          <w:rFonts w:ascii="Arial" w:cs="Arial" w:eastAsia="Arial" w:hAnsi="Arial"/>
          <w:sz w:val="22"/>
          <w:szCs w:val="22"/>
        </w:rPr>
        <w:t xml:space="preserve">Support strategic planning and targeted marketing decisions</w:t>
      </w:r>
    </w:p>
    <w:p>
      <w:pPr>
        <w:pStyle w:val="Heading1"/>
        <w:spacing w:after="120" w:before="320"/>
      </w:pPr>
      <w:r>
        <w:rPr>
          <w:rFonts w:ascii="Arial" w:cs="Arial" w:eastAsia="Arial" w:hAnsi="Arial"/>
          <w:b/>
          <w:bCs/>
          <w:color w:val="1F3864"/>
          <w:sz w:val="28"/>
          <w:szCs w:val="28"/>
        </w:rPr>
        <w:t xml:space="preserve">3. Dataset Description</w:t>
      </w:r>
    </w:p>
    <w:p>
      <w:pPr>
        <w:pBdr>
          <w:bottom w:val="single" w:color="2E75B6" w:sz="6" w:space="1"/>
        </w:pBdr>
        <w:spacing w:after="60" w:before="60"/>
      </w:pPr>
    </w:p>
    <w:p>
      <w:pPr>
        <w:spacing w:after="80" w:before="80" w:line="320"/>
        <w:jc w:val="both"/>
      </w:pPr>
      <w:r>
        <w:rPr>
          <w:rFonts w:ascii="Arial" w:cs="Arial" w:eastAsia="Arial" w:hAnsi="Arial"/>
          <w:sz w:val="22"/>
          <w:szCs w:val="22"/>
        </w:rPr>
        <w:t xml:space="preserve">The dataset contains 10,000 customer records from a European bank operating across France, Spain, and Germany. It includes demographic, financial, and behavioural attributes, with the binary variable Exited serving as the churn indicator (target variable).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CustomerId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Integer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Unique customer identifier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CreditScore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Integer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Customer creditworthiness score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Geography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Categorical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France / Spain / Germany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Gender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Categorical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Male / Female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Age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Integer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Customer age in years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Tenure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Integer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Years with the bank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Balance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Float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Account balance (€)</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NumOfProducts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Integer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Number of bank products held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HasCrCard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Binary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Credit card ownership (0/1)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IsActiveMember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Binary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Activity indicator (0/1)</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EstimatedSalary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Float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Estimated annual salary (€)</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sz w:val="20"/>
                <w:szCs w:val="20"/>
              </w:rPr>
              <w:t xml:space="preserve">Exited</w:t>
            </w:r>
          </w:p>
        </w:tc>
        <w:tc>
          <w:tcPr>
            <w:tcW w:type="dxa" w:w="3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Binary</w:t>
            </w:r>
          </w:p>
        </w:tc>
        <w:tc>
          <w:tcPr>
            <w:tcW w:type="dxa" w:w="33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Churn indicator — TARGET (0/1)</w:t>
            </w:r>
          </w:p>
        </w:tc>
      </w:tr>
    </w:tbl>
    <w:p>
      <w:pPr>
        <w:pStyle w:val="Heading1"/>
        <w:spacing w:after="120" w:before="320"/>
      </w:pPr>
      <w:r>
        <w:rPr>
          <w:rFonts w:ascii="Arial" w:cs="Arial" w:eastAsia="Arial" w:hAnsi="Arial"/>
          <w:b/>
          <w:bCs/>
          <w:color w:val="1F3864"/>
          <w:sz w:val="28"/>
          <w:szCs w:val="28"/>
        </w:rPr>
        <w:t xml:space="preserve">4. Analytical Methodology</w:t>
      </w:r>
    </w:p>
    <w:p>
      <w:pPr>
        <w:pBdr>
          <w:bottom w:val="single" w:color="2E75B6" w:sz="6" w:space="1"/>
        </w:pBdr>
        <w:spacing w:after="60" w:before="60"/>
      </w:pPr>
    </w:p>
    <w:p>
      <w:pPr>
        <w:pStyle w:val="Heading2"/>
        <w:spacing w:after="80" w:before="240"/>
      </w:pPr>
      <w:r>
        <w:rPr>
          <w:rFonts w:ascii="Arial" w:cs="Arial" w:eastAsia="Arial" w:hAnsi="Arial"/>
          <w:b/>
          <w:bCs/>
          <w:color w:val="2E75B6"/>
          <w:sz w:val="24"/>
          <w:szCs w:val="24"/>
        </w:rPr>
        <w:t xml:space="preserve">4.1 Data Ingestion and Validation</w:t>
      </w:r>
    </w:p>
    <w:p>
      <w:pPr>
        <w:spacing w:after="80" w:before="80" w:line="320"/>
        <w:jc w:val="both"/>
      </w:pPr>
      <w:r>
        <w:rPr>
          <w:rFonts w:ascii="Arial" w:cs="Arial" w:eastAsia="Arial" w:hAnsi="Arial"/>
          <w:sz w:val="22"/>
          <w:szCs w:val="22"/>
        </w:rPr>
        <w:t xml:space="preserve">The dataset was loaded and validated for completeness. Key validation checks included: binary field consistency (IsActiveMember, HasCrCard, Exited), product count range validation, and churn labelling accuracy. No missing values were identified in critical fields.</w:t>
      </w:r>
    </w:p>
    <w:p>
      <w:pPr>
        <w:pStyle w:val="Heading2"/>
        <w:spacing w:after="80" w:before="240"/>
      </w:pPr>
      <w:r>
        <w:rPr>
          <w:rFonts w:ascii="Arial" w:cs="Arial" w:eastAsia="Arial" w:hAnsi="Arial"/>
          <w:b/>
          <w:bCs/>
          <w:color w:val="2E75B6"/>
          <w:sz w:val="24"/>
          <w:szCs w:val="24"/>
        </w:rPr>
        <w:t xml:space="preserve">4.2 Data Cleaning and Preparation</w:t>
      </w:r>
    </w:p>
    <w:p>
      <w:pPr>
        <w:pStyle w:val="ListParagraph"/>
        <w:numPr>
          <w:ilvl w:val="0"/>
          <w:numId w:val="2"/>
        </w:numPr>
        <w:spacing w:after="40" w:before="40"/>
      </w:pPr>
      <w:r>
        <w:rPr>
          <w:rFonts w:ascii="Arial" w:cs="Arial" w:eastAsia="Arial" w:hAnsi="Arial"/>
          <w:sz w:val="22"/>
          <w:szCs w:val="22"/>
        </w:rPr>
        <w:t xml:space="preserve">Non-analytical fields (Surname) were removed prior to analysis</w:t>
      </w:r>
    </w:p>
    <w:p>
      <w:pPr>
        <w:pStyle w:val="ListParagraph"/>
        <w:numPr>
          <w:ilvl w:val="0"/>
          <w:numId w:val="2"/>
        </w:numPr>
        <w:spacing w:after="40" w:before="40"/>
      </w:pPr>
      <w:r>
        <w:rPr>
          <w:rFonts w:ascii="Arial" w:cs="Arial" w:eastAsia="Arial" w:hAnsi="Arial"/>
          <w:sz w:val="22"/>
          <w:szCs w:val="22"/>
        </w:rPr>
        <w:t xml:space="preserve">Categorical variables (Geography, Gender) were confirmed for consistent encoding</w:t>
      </w:r>
    </w:p>
    <w:p>
      <w:pPr>
        <w:pStyle w:val="ListParagraph"/>
        <w:numPr>
          <w:ilvl w:val="0"/>
          <w:numId w:val="2"/>
        </w:numPr>
        <w:spacing w:after="40" w:before="40"/>
      </w:pPr>
      <w:r>
        <w:rPr>
          <w:rFonts w:ascii="Arial" w:cs="Arial" w:eastAsia="Arial" w:hAnsi="Arial"/>
          <w:sz w:val="22"/>
          <w:szCs w:val="22"/>
        </w:rPr>
        <w:t xml:space="preserve">Four derived segmentation fields were created from continuous variables</w:t>
      </w:r>
    </w:p>
    <w:p>
      <w:pPr>
        <w:pStyle w:val="Heading2"/>
        <w:spacing w:after="80" w:before="240"/>
      </w:pPr>
      <w:r>
        <w:rPr>
          <w:rFonts w:ascii="Arial" w:cs="Arial" w:eastAsia="Arial" w:hAnsi="Arial"/>
          <w:b/>
          <w:bCs/>
          <w:color w:val="2E75B6"/>
          <w:sz w:val="24"/>
          <w:szCs w:val="24"/>
        </w:rPr>
        <w:t xml:space="preserve">4.3 Customer Segmentation Design</w:t>
      </w:r>
    </w:p>
    <w:p>
      <w:pPr>
        <w:spacing w:after="80" w:before="80" w:line="320"/>
        <w:jc w:val="both"/>
      </w:pPr>
      <w:r>
        <w:rPr>
          <w:rFonts w:ascii="Arial" w:cs="Arial" w:eastAsia="Arial" w:hAnsi="Arial"/>
          <w:sz w:val="22"/>
          <w:szCs w:val="22"/>
        </w:rPr>
        <w:t xml:space="preserve">The following segmentation dimensions were constructed: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Geographic</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France, Spain, Germany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Country of residence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Age Group</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&lt;30, 30–45, 46–60, 60+</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 in years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Credit Score Band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Low (&lt;580), Medium (580–719), High (720+)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CreditScore field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Tenure Group</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New (0–2yr), Mid-term (3–6yr), Long-term (7+yr)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Tenure field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Balance Segment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Zero-balance, Low-balance (&lt;€50k), High-balance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Balance field</w:t>
            </w:r>
          </w:p>
        </w:tc>
      </w:tr>
    </w:tbl>
    <w:p>
      <w:pPr>
        <w:pStyle w:val="Heading1"/>
        <w:spacing w:after="120" w:before="320"/>
      </w:pPr>
      <w:r>
        <w:rPr>
          <w:rFonts w:ascii="Arial" w:cs="Arial" w:eastAsia="Arial" w:hAnsi="Arial"/>
          <w:b/>
          <w:bCs/>
          <w:color w:val="1F3864"/>
          <w:sz w:val="28"/>
          <w:szCs w:val="28"/>
        </w:rPr>
        <w:t xml:space="preserve">5. Results and Key Findings</w:t>
      </w:r>
    </w:p>
    <w:p>
      <w:pPr>
        <w:pBdr>
          <w:bottom w:val="single" w:color="2E75B6" w:sz="6" w:space="1"/>
        </w:pBdr>
        <w:spacing w:after="60" w:before="60"/>
      </w:pPr>
    </w:p>
    <w:p>
      <w:pPr>
        <w:pStyle w:val="Heading2"/>
        <w:spacing w:after="80" w:before="240"/>
      </w:pPr>
      <w:r>
        <w:rPr>
          <w:rFonts w:ascii="Arial" w:cs="Arial" w:eastAsia="Arial" w:hAnsi="Arial"/>
          <w:b/>
          <w:bCs/>
          <w:color w:val="2E75B6"/>
          <w:sz w:val="24"/>
          <w:szCs w:val="24"/>
        </w:rPr>
        <w:t xml:space="preserve">5.1 Overall Churn Rate</w:t>
      </w:r>
    </w:p>
    <w:p>
      <w:pPr>
        <w:spacing w:after="80" w:before="80" w:line="320"/>
        <w:jc w:val="both"/>
      </w:pPr>
      <w:r>
        <w:rPr>
          <w:rFonts w:ascii="Arial" w:cs="Arial" w:eastAsia="Arial" w:hAnsi="Arial"/>
          <w:sz w:val="22"/>
          <w:szCs w:val="22"/>
        </w:rPr>
        <w:t xml:space="preserve">Of 10,000 customers, 2,037 exited the bank, yielding an overall churn rate of 20.4%. This means approximately 1 in 5 customers left the bank, representing a significant retention challenge across all three markets.</w:t>
      </w:r>
    </w:p>
    <w:p>
      <w:pPr>
        <w:pStyle w:val="Heading2"/>
        <w:spacing w:after="80" w:before="240"/>
      </w:pPr>
      <w:r>
        <w:rPr>
          <w:rFonts w:ascii="Arial" w:cs="Arial" w:eastAsia="Arial" w:hAnsi="Arial"/>
          <w:b/>
          <w:bCs/>
          <w:color w:val="2E75B6"/>
          <w:sz w:val="24"/>
          <w:szCs w:val="24"/>
        </w:rPr>
        <w:t xml:space="preserve">5.2 Geographic Churn Analysis</w:t>
      </w:r>
    </w:p>
    <w:p>
      <w:pPr>
        <w:spacing w:after="80" w:before="80" w:line="320"/>
        <w:jc w:val="both"/>
      </w:pPr>
      <w:r>
        <w:rPr>
          <w:rFonts w:ascii="Arial" w:cs="Arial" w:eastAsia="Arial" w:hAnsi="Arial"/>
          <w:sz w:val="22"/>
          <w:szCs w:val="22"/>
        </w:rPr>
        <w:t xml:space="preserve">Geographic variation in churn is the most striking finding of this study. Germany exhibits a churn rate of 32.4% — nearly double that of France (16.2%) and Spain (16.7%). Despite having the smallest customer base (25.1% of total), Germany accounts for a disproportionate share of churned customers, signalling market-specific dissatisfaction or competitive pressures.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Geography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Customers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Retained</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 Rate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France</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5,014</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810</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4,204</w:t>
            </w:r>
          </w:p>
        </w:tc>
        <w:tc>
          <w:tcPr>
            <w:tcW w:type="dxa" w:w="1404"/>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16.2%</w:t>
            </w:r>
          </w:p>
        </w:tc>
      </w:tr>
      <w:tr>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sz w:val="20"/>
                <w:szCs w:val="20"/>
              </w:rPr>
              <w:t xml:space="preserve">Germany</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2,509</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814</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1,695</w:t>
            </w:r>
          </w:p>
        </w:tc>
        <w:tc>
          <w:tcPr>
            <w:tcW w:type="dxa" w:w="1404"/>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32.4%</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Spain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2,477</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413</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2,064</w:t>
            </w:r>
          </w:p>
        </w:tc>
        <w:tc>
          <w:tcPr>
            <w:tcW w:type="dxa" w:w="140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16.7%</w:t>
            </w:r>
          </w:p>
        </w:tc>
      </w:tr>
      <w:tr>
        <w:tc>
          <w:tcPr>
            <w:tcW w:type="dxa" w:w="234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left"/>
            </w:pPr>
            <w:r>
              <w:rPr>
                <w:rFonts w:ascii="Arial" w:cs="Arial" w:eastAsia="Arial" w:hAnsi="Arial"/>
                <w:b/>
                <w:bCs/>
                <w:sz w:val="20"/>
                <w:szCs w:val="20"/>
              </w:rPr>
              <w:t xml:space="preserve">Total</w:t>
            </w:r>
          </w:p>
        </w:tc>
        <w:tc>
          <w:tcPr>
            <w:tcW w:type="dxa" w:w="1872"/>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10,000</w:t>
            </w:r>
          </w:p>
        </w:tc>
        <w:tc>
          <w:tcPr>
            <w:tcW w:type="dxa" w:w="1872"/>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2,037</w:t>
            </w:r>
          </w:p>
        </w:tc>
        <w:tc>
          <w:tcPr>
            <w:tcW w:type="dxa" w:w="1872"/>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7,963</w:t>
            </w:r>
          </w:p>
        </w:tc>
        <w:tc>
          <w:tcPr>
            <w:tcW w:type="dxa" w:w="1404"/>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20.4%</w:t>
            </w:r>
          </w:p>
        </w:tc>
      </w:tr>
    </w:tbl>
    <w:p>
      <w:pPr>
        <w:pStyle w:val="Heading2"/>
        <w:spacing w:after="80" w:before="240"/>
      </w:pPr>
      <w:r>
        <w:rPr>
          <w:rFonts w:ascii="Arial" w:cs="Arial" w:eastAsia="Arial" w:hAnsi="Arial"/>
          <w:b/>
          <w:bCs/>
          <w:color w:val="2E75B6"/>
          <w:sz w:val="24"/>
          <w:szCs w:val="24"/>
        </w:rPr>
        <w:t xml:space="preserve">5.3 Age Group Churn Analysis</w:t>
      </w:r>
    </w:p>
    <w:p>
      <w:pPr>
        <w:spacing w:after="80" w:before="80" w:line="320"/>
        <w:jc w:val="both"/>
      </w:pPr>
      <w:r>
        <w:rPr>
          <w:rFonts w:ascii="Arial" w:cs="Arial" w:eastAsia="Arial" w:hAnsi="Arial"/>
          <w:sz w:val="22"/>
          <w:szCs w:val="22"/>
        </w:rPr>
        <w:t xml:space="preserve">Age is the most powerful demographic predictor of churn in this dataset. The 46–60 age group exhibits an extraordinarily high churn rate of 51.1% — more than half of customers in this cohort left the bank. This is followed by the 60+ group (41.1%) and the 30–45 group (15.7%). Younger customers (&lt;30) show the lowest churn at 7.6%, suggesting stronger digital engagement or newer relationships.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 Group</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Retained</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 Rate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&lt;30</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1,721</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131</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1,590</w:t>
            </w:r>
          </w:p>
        </w:tc>
        <w:tc>
          <w:tcPr>
            <w:tcW w:type="dxa" w:w="140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7.6%</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30–45</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4,952</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779</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4,173</w:t>
            </w:r>
          </w:p>
        </w:tc>
        <w:tc>
          <w:tcPr>
            <w:tcW w:type="dxa" w:w="1404"/>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15.7%</w:t>
            </w:r>
          </w:p>
        </w:tc>
      </w:tr>
      <w:tr>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sz w:val="20"/>
                <w:szCs w:val="20"/>
              </w:rPr>
              <w:t xml:space="preserve">46–60</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2,728</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1,395</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1,333</w:t>
            </w:r>
          </w:p>
        </w:tc>
        <w:tc>
          <w:tcPr>
            <w:tcW w:type="dxa" w:w="1404"/>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51.1%</w:t>
            </w:r>
          </w:p>
        </w:tc>
      </w:tr>
      <w:tr>
        <w:tc>
          <w:tcPr>
            <w:tcW w:type="dxa" w:w="234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bCs/>
                <w:sz w:val="20"/>
                <w:szCs w:val="20"/>
              </w:rPr>
              <w:t xml:space="preserve">60+</w:t>
            </w:r>
          </w:p>
        </w:tc>
        <w:tc>
          <w:tcPr>
            <w:tcW w:type="dxa" w:w="1872"/>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599</w:t>
            </w:r>
          </w:p>
        </w:tc>
        <w:tc>
          <w:tcPr>
            <w:tcW w:type="dxa" w:w="1872"/>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246</w:t>
            </w:r>
          </w:p>
        </w:tc>
        <w:tc>
          <w:tcPr>
            <w:tcW w:type="dxa" w:w="1872"/>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353</w:t>
            </w:r>
          </w:p>
        </w:tc>
        <w:tc>
          <w:tcPr>
            <w:tcW w:type="dxa" w:w="1404"/>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41.1%</w:t>
            </w:r>
          </w:p>
        </w:tc>
      </w:tr>
    </w:tbl>
    <w:p>
      <w:pPr>
        <w:pStyle w:val="Heading2"/>
        <w:spacing w:after="80" w:before="240"/>
      </w:pPr>
      <w:r>
        <w:rPr>
          <w:rFonts w:ascii="Arial" w:cs="Arial" w:eastAsia="Arial" w:hAnsi="Arial"/>
          <w:b/>
          <w:bCs/>
          <w:color w:val="2E75B6"/>
          <w:sz w:val="24"/>
          <w:szCs w:val="24"/>
        </w:rPr>
        <w:t xml:space="preserve">5.4 Gender-Based Churn Analysis</w:t>
      </w:r>
    </w:p>
    <w:p>
      <w:pPr>
        <w:spacing w:after="80" w:before="80" w:line="320"/>
        <w:jc w:val="both"/>
      </w:pPr>
      <w:r>
        <w:rPr>
          <w:rFonts w:ascii="Arial" w:cs="Arial" w:eastAsia="Arial" w:hAnsi="Arial"/>
          <w:sz w:val="22"/>
          <w:szCs w:val="22"/>
        </w:rPr>
        <w:t xml:space="preserve">Female customers churn at a rate of 25.1%, significantly higher than male customers at 16.5%. This 8.6 percentage point gap suggests that the bank's products and services may be less aligned with female customer expectations, or that competitor offerings are more attractive to this segment.</w:t>
      </w:r>
    </w:p>
    <w:p>
      <w:pPr>
        <w:pStyle w:val="Heading2"/>
        <w:spacing w:after="80" w:before="240"/>
      </w:pPr>
      <w:r>
        <w:rPr>
          <w:rFonts w:ascii="Arial" w:cs="Arial" w:eastAsia="Arial" w:hAnsi="Arial"/>
          <w:b/>
          <w:bCs/>
          <w:color w:val="2E75B6"/>
          <w:sz w:val="24"/>
          <w:szCs w:val="24"/>
        </w:rPr>
        <w:t xml:space="preserve">5.5 Credit Score Band Analysis</w:t>
      </w:r>
    </w:p>
    <w:p>
      <w:pPr>
        <w:spacing w:after="80" w:before="80" w:line="320"/>
        <w:jc w:val="both"/>
      </w:pPr>
      <w:r>
        <w:rPr>
          <w:rFonts w:ascii="Arial" w:cs="Arial" w:eastAsia="Arial" w:hAnsi="Arial"/>
          <w:sz w:val="22"/>
          <w:szCs w:val="22"/>
        </w:rPr>
        <w:t xml:space="preserve">Churn rates are relatively consistent across credit score bands: Low (22.0%), Medium (20.2%), and High (20.3%). This suggests credit score is not a primary churn driver, but customers with lower credit scores show marginally higher churn — possibly due to fewer product options or higher financial stress.</w:t>
      </w:r>
    </w:p>
    <w:p>
      <w:pPr>
        <w:pStyle w:val="Heading2"/>
        <w:spacing w:after="80" w:before="240"/>
      </w:pPr>
      <w:r>
        <w:rPr>
          <w:rFonts w:ascii="Arial" w:cs="Arial" w:eastAsia="Arial" w:hAnsi="Arial"/>
          <w:b/>
          <w:bCs/>
          <w:color w:val="2E75B6"/>
          <w:sz w:val="24"/>
          <w:szCs w:val="24"/>
        </w:rPr>
        <w:t xml:space="preserve">5.6 Tenure Group Analysis</w:t>
      </w:r>
    </w:p>
    <w:p>
      <w:pPr>
        <w:spacing w:after="80" w:before="80" w:line="320"/>
        <w:jc w:val="both"/>
      </w:pPr>
      <w:r>
        <w:rPr>
          <w:rFonts w:ascii="Arial" w:cs="Arial" w:eastAsia="Arial" w:hAnsi="Arial"/>
          <w:sz w:val="22"/>
          <w:szCs w:val="22"/>
        </w:rPr>
        <w:t xml:space="preserve">New customers (0–2 years) exhibit a churn rate of 21.2%, while mid-term (3–6 years) customers churn at 20.6% and long-term customers (7+ years) at 19.5%. The marginal decrease with tenure suggests that longer-tenured customers develop stronger bank loyalty, but the difference is not dramatic — indicating that even long-term customers are not immune to churn risk.</w:t>
      </w:r>
    </w:p>
    <w:p>
      <w:pPr>
        <w:pStyle w:val="Heading2"/>
        <w:spacing w:after="80" w:before="240"/>
      </w:pPr>
      <w:r>
        <w:rPr>
          <w:rFonts w:ascii="Arial" w:cs="Arial" w:eastAsia="Arial" w:hAnsi="Arial"/>
          <w:b/>
          <w:bCs/>
          <w:color w:val="2E75B6"/>
          <w:sz w:val="24"/>
          <w:szCs w:val="24"/>
        </w:rPr>
        <w:t xml:space="preserve">5.7 Balance Segment Analysis</w:t>
      </w:r>
    </w:p>
    <w:p>
      <w:pPr>
        <w:spacing w:after="80" w:before="80" w:line="320"/>
        <w:jc w:val="both"/>
      </w:pPr>
      <w:r>
        <w:rPr>
          <w:rFonts w:ascii="Arial" w:cs="Arial" w:eastAsia="Arial" w:hAnsi="Arial"/>
          <w:sz w:val="22"/>
          <w:szCs w:val="22"/>
        </w:rPr>
        <w:t xml:space="preserve">A counterintuitive pattern emerges in balance segmentation: zero-balance customers churn the least (13.8%), while high-balance customers churn more (24.0%). This may reflect that high-balance customers are more financially sophisticated and actively evaluate competing offers, making them more likely to switch banks when they find a better deal.</w:t>
      </w:r>
    </w:p>
    <w:p>
      <w:pPr>
        <w:pStyle w:val="Heading2"/>
        <w:spacing w:after="80" w:before="240"/>
      </w:pPr>
      <w:r>
        <w:rPr>
          <w:rFonts w:ascii="Arial" w:cs="Arial" w:eastAsia="Arial" w:hAnsi="Arial"/>
          <w:b/>
          <w:bCs/>
          <w:color w:val="2E75B6"/>
          <w:sz w:val="24"/>
          <w:szCs w:val="24"/>
        </w:rPr>
        <w:t xml:space="preserve">5.8 Engagement Analysis</w:t>
      </w:r>
    </w:p>
    <w:p>
      <w:pPr>
        <w:spacing w:after="80" w:before="80" w:line="320"/>
        <w:jc w:val="both"/>
      </w:pPr>
      <w:r>
        <w:rPr>
          <w:rFonts w:ascii="Arial" w:cs="Arial" w:eastAsia="Arial" w:hAnsi="Arial"/>
          <w:sz w:val="22"/>
          <w:szCs w:val="22"/>
        </w:rPr>
        <w:t xml:space="preserve">Inactive members churn at 26.9% compared to 14.3% for active members — nearly double the rate. This is one of the most actionable findings: inactivity is a strong leading indicator of churn, and re-engagement programmes targeting inactive members could significantly reduce overall churn.</w:t>
      </w:r>
    </w:p>
    <w:p>
      <w:pPr>
        <w:pStyle w:val="Heading2"/>
        <w:spacing w:after="80" w:before="240"/>
      </w:pPr>
      <w:r>
        <w:rPr>
          <w:rFonts w:ascii="Arial" w:cs="Arial" w:eastAsia="Arial" w:hAnsi="Arial"/>
          <w:b/>
          <w:bCs/>
          <w:color w:val="2E75B6"/>
          <w:sz w:val="24"/>
          <w:szCs w:val="24"/>
        </w:rPr>
        <w:t xml:space="preserve">5.9 High-Value Customer Churn Analysis</w:t>
      </w:r>
    </w:p>
    <w:p>
      <w:pPr>
        <w:spacing w:after="80" w:before="80" w:line="320"/>
        <w:jc w:val="both"/>
      </w:pPr>
      <w:r>
        <w:rPr>
          <w:rFonts w:ascii="Arial" w:cs="Arial" w:eastAsia="Arial" w:hAnsi="Arial"/>
          <w:sz w:val="22"/>
          <w:szCs w:val="22"/>
        </w:rPr>
        <w:t xml:space="preserve">High-value customers (top 25% by balance, threshold ≈ €127,644) comprise approximately 25% of the customer base. Their churn rate of 23.0% is higher than the overall rate, and the total account balance held by churned high-value customers amounts to €58.7 million — representing direct revenue and relationship risk for the bank.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High-Value Customers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All Customers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sz w:val="20"/>
                <w:szCs w:val="20"/>
              </w:rPr>
              <w:t xml:space="preserve">Churn Rate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23.0%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20.4%</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Avg Balance (Churned)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€149,823</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€76,486</w:t>
            </w:r>
          </w:p>
        </w:tc>
      </w:tr>
      <w:tr>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sz w:val="20"/>
                <w:szCs w:val="20"/>
              </w:rPr>
              <w:t xml:space="preserve">Revenue at Risk</w:t>
            </w:r>
          </w:p>
        </w:tc>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€58.7 Million</w:t>
            </w:r>
          </w:p>
        </w:tc>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t>
            </w:r>
          </w:p>
        </w:tc>
      </w:tr>
    </w:tbl>
    <w:p>
      <w:pPr>
        <w:pStyle w:val="Heading2"/>
        <w:spacing w:after="80" w:before="240"/>
      </w:pPr>
      <w:r>
        <w:rPr>
          <w:rFonts w:ascii="Arial" w:cs="Arial" w:eastAsia="Arial" w:hAnsi="Arial"/>
          <w:b/>
          <w:bCs/>
          <w:color w:val="2E75B6"/>
          <w:sz w:val="24"/>
          <w:szCs w:val="24"/>
        </w:rPr>
        <w:t xml:space="preserve">5.10 Geography × Age Interaction</w:t>
      </w:r>
    </w:p>
    <w:p>
      <w:pPr>
        <w:spacing w:after="80" w:before="80" w:line="320"/>
        <w:jc w:val="both"/>
      </w:pPr>
      <w:r>
        <w:rPr>
          <w:rFonts w:ascii="Arial" w:cs="Arial" w:eastAsia="Arial" w:hAnsi="Arial"/>
          <w:sz w:val="22"/>
          <w:szCs w:val="22"/>
        </w:rPr>
        <w:t xml:space="preserve">The intersection of geography and age reveals compound risk zones. German customers aged 46–60 represent the highest-risk segment, combining the nation's elevated churn rate with the peak age-group churn. This interaction effect suggests that targeted retention campaigns should prioritise mid-to-late career customers in Germany.</w:t>
      </w:r>
    </w:p>
    <w:p>
      <w:pPr>
        <w:pStyle w:val="Heading1"/>
        <w:spacing w:after="120" w:before="320"/>
      </w:pPr>
      <w:r>
        <w:rPr>
          <w:rFonts w:ascii="Arial" w:cs="Arial" w:eastAsia="Arial" w:hAnsi="Arial"/>
          <w:b/>
          <w:bCs/>
          <w:color w:val="1F3864"/>
          <w:sz w:val="28"/>
          <w:szCs w:val="28"/>
        </w:rPr>
        <w:t xml:space="preserve">6. Discussion</w:t>
      </w:r>
    </w:p>
    <w:p>
      <w:pPr>
        <w:pBdr>
          <w:bottom w:val="single" w:color="2E75B6" w:sz="6" w:space="1"/>
        </w:pBdr>
        <w:spacing w:after="60" w:before="60"/>
      </w:pPr>
    </w:p>
    <w:p>
      <w:pPr>
        <w:pStyle w:val="Heading2"/>
        <w:spacing w:after="80" w:before="240"/>
      </w:pPr>
      <w:r>
        <w:rPr>
          <w:rFonts w:ascii="Arial" w:cs="Arial" w:eastAsia="Arial" w:hAnsi="Arial"/>
          <w:b/>
          <w:bCs/>
          <w:color w:val="2E75B6"/>
          <w:sz w:val="24"/>
          <w:szCs w:val="24"/>
        </w:rPr>
        <w:t xml:space="preserve">6.1 Key Insights</w:t>
      </w:r>
    </w:p>
    <w:p>
      <w:pPr>
        <w:pStyle w:val="ListParagraph"/>
        <w:numPr>
          <w:ilvl w:val="0"/>
          <w:numId w:val="2"/>
        </w:numPr>
        <w:spacing w:after="40" w:before="40"/>
      </w:pPr>
      <w:r>
        <w:rPr>
          <w:rFonts w:ascii="Arial" w:cs="Arial" w:eastAsia="Arial" w:hAnsi="Arial"/>
          <w:sz w:val="22"/>
          <w:szCs w:val="22"/>
        </w:rPr>
        <w:t xml:space="preserve">Geography is the strongest single predictor of churn — Germany's 32.4% rate vs 16–17% for France and Spain demands country-specific retention strategies</w:t>
      </w:r>
    </w:p>
    <w:p>
      <w:pPr>
        <w:pStyle w:val="ListParagraph"/>
        <w:numPr>
          <w:ilvl w:val="0"/>
          <w:numId w:val="2"/>
        </w:numPr>
        <w:spacing w:after="40" w:before="40"/>
      </w:pPr>
      <w:r>
        <w:rPr>
          <w:rFonts w:ascii="Arial" w:cs="Arial" w:eastAsia="Arial" w:hAnsi="Arial"/>
          <w:sz w:val="22"/>
          <w:szCs w:val="22"/>
        </w:rPr>
        <w:t xml:space="preserve">Age group 46–60 is a critical risk cohort — 51.1% churn rate suggests this demographic has unmet needs or better alternative options</w:t>
      </w:r>
    </w:p>
    <w:p>
      <w:pPr>
        <w:pStyle w:val="ListParagraph"/>
        <w:numPr>
          <w:ilvl w:val="0"/>
          <w:numId w:val="2"/>
        </w:numPr>
        <w:spacing w:after="40" w:before="40"/>
      </w:pPr>
      <w:r>
        <w:rPr>
          <w:rFonts w:ascii="Arial" w:cs="Arial" w:eastAsia="Arial" w:hAnsi="Arial"/>
          <w:sz w:val="22"/>
          <w:szCs w:val="22"/>
        </w:rPr>
        <w:t xml:space="preserve">Female customers churn at a disproportionate rate (25.1%) — product relevance and communication may need gender-specific tailoring</w:t>
      </w:r>
    </w:p>
    <w:p>
      <w:pPr>
        <w:pStyle w:val="ListParagraph"/>
        <w:numPr>
          <w:ilvl w:val="0"/>
          <w:numId w:val="2"/>
        </w:numPr>
        <w:spacing w:after="40" w:before="40"/>
      </w:pPr>
      <w:r>
        <w:rPr>
          <w:rFonts w:ascii="Arial" w:cs="Arial" w:eastAsia="Arial" w:hAnsi="Arial"/>
          <w:sz w:val="22"/>
          <w:szCs w:val="22"/>
        </w:rPr>
        <w:t xml:space="preserve">Inactivity is the most actionable predictor — inactive members churn at nearly 2x the rate of active members</w:t>
      </w:r>
    </w:p>
    <w:p>
      <w:pPr>
        <w:pStyle w:val="ListParagraph"/>
        <w:numPr>
          <w:ilvl w:val="0"/>
          <w:numId w:val="2"/>
        </w:numPr>
        <w:spacing w:after="40" w:before="40"/>
      </w:pPr>
      <w:r>
        <w:rPr>
          <w:rFonts w:ascii="Arial" w:cs="Arial" w:eastAsia="Arial" w:hAnsi="Arial"/>
          <w:sz w:val="22"/>
          <w:szCs w:val="22"/>
        </w:rPr>
        <w:t xml:space="preserve">High-value customers are not loyal by virtue of their balance — the 23.0% churn rate among premium customers exposes €58.7M in revenue risk</w:t>
      </w:r>
    </w:p>
    <w:p>
      <w:pPr>
        <w:pStyle w:val="Heading2"/>
        <w:spacing w:after="80" w:before="240"/>
      </w:pPr>
      <w:r>
        <w:rPr>
          <w:rFonts w:ascii="Arial" w:cs="Arial" w:eastAsia="Arial" w:hAnsi="Arial"/>
          <w:b/>
          <w:bCs/>
          <w:color w:val="2E75B6"/>
          <w:sz w:val="24"/>
          <w:szCs w:val="24"/>
        </w:rPr>
        <w:t xml:space="preserve">6.2 Limitations</w:t>
      </w:r>
    </w:p>
    <w:p>
      <w:pPr>
        <w:pStyle w:val="ListParagraph"/>
        <w:numPr>
          <w:ilvl w:val="0"/>
          <w:numId w:val="2"/>
        </w:numPr>
        <w:spacing w:after="40" w:before="40"/>
      </w:pPr>
      <w:r>
        <w:rPr>
          <w:rFonts w:ascii="Arial" w:cs="Arial" w:eastAsia="Arial" w:hAnsi="Arial"/>
          <w:sz w:val="22"/>
          <w:szCs w:val="22"/>
        </w:rPr>
        <w:t xml:space="preserve">The dataset does not include transaction-level data, which would strengthen churn prediction models</w:t>
      </w:r>
    </w:p>
    <w:p>
      <w:pPr>
        <w:pStyle w:val="ListParagraph"/>
        <w:numPr>
          <w:ilvl w:val="0"/>
          <w:numId w:val="2"/>
        </w:numPr>
        <w:spacing w:after="40" w:before="40"/>
      </w:pPr>
      <w:r>
        <w:rPr>
          <w:rFonts w:ascii="Arial" w:cs="Arial" w:eastAsia="Arial" w:hAnsi="Arial"/>
          <w:sz w:val="22"/>
          <w:szCs w:val="22"/>
        </w:rPr>
        <w:t xml:space="preserve">Temporal data is limited — churn timing and predictive lead indicators are not analysable</w:t>
      </w:r>
    </w:p>
    <w:p>
      <w:pPr>
        <w:pStyle w:val="ListParagraph"/>
        <w:numPr>
          <w:ilvl w:val="0"/>
          <w:numId w:val="2"/>
        </w:numPr>
        <w:spacing w:after="40" w:before="40"/>
      </w:pPr>
      <w:r>
        <w:rPr>
          <w:rFonts w:ascii="Arial" w:cs="Arial" w:eastAsia="Arial" w:hAnsi="Arial"/>
          <w:sz w:val="22"/>
          <w:szCs w:val="22"/>
        </w:rPr>
        <w:t xml:space="preserve">Salary data is estimated, not confirmed, potentially introducing noise in financial profiling</w:t>
      </w:r>
    </w:p>
    <w:p>
      <w:pPr>
        <w:pStyle w:val="Heading1"/>
        <w:spacing w:after="120" w:before="320"/>
      </w:pPr>
      <w:r>
        <w:rPr>
          <w:rFonts w:ascii="Arial" w:cs="Arial" w:eastAsia="Arial" w:hAnsi="Arial"/>
          <w:b/>
          <w:bCs/>
          <w:color w:val="1F3864"/>
          <w:sz w:val="28"/>
          <w:szCs w:val="28"/>
        </w:rPr>
        <w:t xml:space="preserve">7. Recommendations</w:t>
      </w:r>
    </w:p>
    <w:p>
      <w:pPr>
        <w:pBdr>
          <w:bottom w:val="single" w:color="2E75B6" w:sz="6" w:space="1"/>
        </w:pBdr>
        <w:spacing w:after="60" w:before="60"/>
      </w:pP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Segment</w:t>
            </w:r>
          </w:p>
        </w:tc>
      </w:tr>
      <w:tr>
        <w:tc>
          <w:tcPr>
            <w:tcW w:type="dxa" w:w="1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sz w:val="20"/>
                <w:szCs w:val="20"/>
              </w:rPr>
              <w:t xml:space="preserve">🔴 Critical</w:t>
            </w:r>
          </w:p>
        </w:tc>
        <w:tc>
          <w:tcPr>
            <w:tcW w:type="dxa" w:w="37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Launch Germany-specific retention programme with personalised outreach and loyalty incentives</w:t>
            </w:r>
          </w:p>
        </w:tc>
        <w:tc>
          <w:tcPr>
            <w:tcW w:type="dxa" w:w="37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German customers (32.4% churn)</w:t>
            </w:r>
          </w:p>
        </w:tc>
      </w:tr>
      <w:tr>
        <w:tc>
          <w:tcPr>
            <w:tcW w:type="dxa" w:w="1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sz w:val="20"/>
                <w:szCs w:val="20"/>
              </w:rPr>
              <w:t xml:space="preserve">🔴 Critical</w:t>
            </w:r>
          </w:p>
        </w:tc>
        <w:tc>
          <w:tcPr>
            <w:tcW w:type="dxa" w:w="37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Deploy high-value customer protection scheme: dedicated relationship managers, premium service tiers</w:t>
            </w:r>
          </w:p>
        </w:tc>
        <w:tc>
          <w:tcPr>
            <w:tcW w:type="dxa" w:w="37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HV customers (€58.7M at risk)</w:t>
            </w:r>
          </w:p>
        </w:tc>
      </w:tr>
      <w:tr>
        <w:tc>
          <w:tcPr>
            <w:tcW w:type="dxa" w:w="1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bCs/>
                <w:sz w:val="20"/>
                <w:szCs w:val="20"/>
              </w:rPr>
              <w:t xml:space="preserve">🟠 High</w:t>
            </w:r>
          </w:p>
        </w:tc>
        <w:tc>
          <w:tcPr>
            <w:tcW w:type="dxa" w:w="37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Create re-engagement campaigns for inactive members: personalised offers, digital nudges</w:t>
            </w:r>
          </w:p>
        </w:tc>
        <w:tc>
          <w:tcPr>
            <w:tcW w:type="dxa" w:w="37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Inactive members (26.9% churn)</w:t>
            </w:r>
          </w:p>
        </w:tc>
      </w:tr>
      <w:tr>
        <w:tc>
          <w:tcPr>
            <w:tcW w:type="dxa" w:w="1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bCs/>
                <w:sz w:val="20"/>
                <w:szCs w:val="20"/>
              </w:rPr>
              <w:t xml:space="preserve">🟠 High</w:t>
            </w:r>
          </w:p>
        </w:tc>
        <w:tc>
          <w:tcPr>
            <w:tcW w:type="dxa" w:w="37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Design targeted products for the 46–60 demographic: retirement planning, wealth management</w:t>
            </w:r>
          </w:p>
        </w:tc>
        <w:tc>
          <w:tcPr>
            <w:tcW w:type="dxa" w:w="37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46–60 age group (51.1% churn)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 Medium</w:t>
            </w:r>
          </w:p>
        </w:tc>
        <w:tc>
          <w:tcPr>
            <w:tcW w:type="dxa" w:w="37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Conduct female customer satisfaction surveys and tailor product communication</w:t>
            </w:r>
          </w:p>
        </w:tc>
        <w:tc>
          <w:tcPr>
            <w:tcW w:type="dxa" w:w="37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Female customers (25.1% churn)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 Medium</w:t>
            </w:r>
          </w:p>
        </w:tc>
        <w:tc>
          <w:tcPr>
            <w:tcW w:type="dxa" w:w="37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Build early warning system using inactivity signals, balance drawdowns, product reduction</w:t>
            </w:r>
          </w:p>
        </w:tc>
        <w:tc>
          <w:tcPr>
            <w:tcW w:type="dxa" w:w="37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All segments</w:t>
            </w:r>
          </w:p>
        </w:tc>
      </w:tr>
    </w:tbl>
    <w:p>
      <w:pPr>
        <w:pStyle w:val="Heading1"/>
        <w:spacing w:after="120" w:before="320"/>
      </w:pPr>
      <w:r>
        <w:rPr>
          <w:rFonts w:ascii="Arial" w:cs="Arial" w:eastAsia="Arial" w:hAnsi="Arial"/>
          <w:b/>
          <w:bCs/>
          <w:color w:val="1F3864"/>
          <w:sz w:val="28"/>
          <w:szCs w:val="28"/>
        </w:rPr>
        <w:t xml:space="preserve">8. Conclusion</w:t>
      </w:r>
    </w:p>
    <w:p>
      <w:pPr>
        <w:pBdr>
          <w:bottom w:val="single" w:color="2E75B6" w:sz="6" w:space="1"/>
        </w:pBdr>
        <w:spacing w:after="60" w:before="60"/>
      </w:pPr>
    </w:p>
    <w:p>
      <w:pPr>
        <w:spacing w:after="80" w:before="80" w:line="320"/>
        <w:jc w:val="both"/>
      </w:pPr>
      <w:r>
        <w:rPr>
          <w:rFonts w:ascii="Arial" w:cs="Arial" w:eastAsia="Arial" w:hAnsi="Arial"/>
          <w:sz w:val="22"/>
          <w:szCs w:val="22"/>
        </w:rPr>
        <w:t xml:space="preserve">This study provides a clear, segmentation-driven understanding of customer churn in European banking. By uncovering churn patterns across geography, demographics, and financial profiles, the analysis equips decision-makers with actionable insights to design targeted, data-driven retention strategies.</w:t>
      </w:r>
    </w:p>
    <w:p>
      <w:pPr>
        <w:spacing w:after="80" w:before="80" w:line="320"/>
        <w:jc w:val="both"/>
      </w:pPr>
      <w:r>
        <w:rPr>
          <w:rFonts w:ascii="Arial" w:cs="Arial" w:eastAsia="Arial" w:hAnsi="Arial"/>
          <w:sz w:val="22"/>
          <w:szCs w:val="22"/>
        </w:rPr>
        <w:t xml:space="preserve">The most critical finding — Germany's disproportionate churn rate of 32.4% and the 51.1% churn peak among customers aged 46–60 — points to clear, addressable intervention points. Simultaneously, the €58.7 million in account balances held by churned high-value customers underscores the financial urgency of premium segment retention.</w:t>
      </w:r>
    </w:p>
    <w:p>
      <w:pPr>
        <w:spacing w:after="80" w:before="80" w:line="320"/>
        <w:jc w:val="both"/>
      </w:pPr>
      <w:r>
        <w:rPr>
          <w:rFonts w:ascii="Arial" w:cs="Arial" w:eastAsia="Arial" w:hAnsi="Arial"/>
          <w:sz w:val="22"/>
          <w:szCs w:val="22"/>
        </w:rPr>
        <w:t xml:space="preserve">With the right combination of segmentation intelligence, early warning systems, and customer-centric product design, European banks can meaningfully reduce churn, improve customer lifetime value, and strengthen their competitive position across all three markets.</w:t>
      </w:r>
    </w:p>
    <w:p>
      <w:pPr>
        <w:pStyle w:val="Heading1"/>
        <w:spacing w:after="120" w:before="320"/>
      </w:pPr>
      <w:r>
        <w:rPr>
          <w:rFonts w:ascii="Arial" w:cs="Arial" w:eastAsia="Arial" w:hAnsi="Arial"/>
          <w:b/>
          <w:bCs/>
          <w:color w:val="1F3864"/>
          <w:sz w:val="28"/>
          <w:szCs w:val="28"/>
        </w:rPr>
        <w:t xml:space="preserve">9. References</w:t>
      </w:r>
    </w:p>
    <w:p>
      <w:pPr>
        <w:pBdr>
          <w:bottom w:val="single" w:color="2E75B6" w:sz="6" w:space="1"/>
        </w:pBdr>
        <w:spacing w:after="60" w:before="60"/>
      </w:pPr>
    </w:p>
    <w:p>
      <w:pPr>
        <w:pStyle w:val="ListParagraph"/>
        <w:numPr>
          <w:ilvl w:val="0"/>
          <w:numId w:val="2"/>
        </w:numPr>
        <w:spacing w:after="40" w:before="40"/>
      </w:pPr>
      <w:r>
        <w:rPr>
          <w:rFonts w:ascii="Arial" w:cs="Arial" w:eastAsia="Arial" w:hAnsi="Arial"/>
          <w:sz w:val="22"/>
          <w:szCs w:val="22"/>
        </w:rPr>
        <w:t xml:space="preserve">European Central Bank. (2023). Banking Supervision: Customer Retention and Churn Risk. ECB Publications.</w:t>
      </w:r>
    </w:p>
    <w:p>
      <w:pPr>
        <w:pStyle w:val="ListParagraph"/>
        <w:numPr>
          <w:ilvl w:val="0"/>
          <w:numId w:val="2"/>
        </w:numPr>
        <w:spacing w:after="40" w:before="40"/>
      </w:pPr>
      <w:r>
        <w:rPr>
          <w:rFonts w:ascii="Arial" w:cs="Arial" w:eastAsia="Arial" w:hAnsi="Arial"/>
          <w:sz w:val="22"/>
          <w:szCs w:val="22"/>
        </w:rPr>
        <w:t xml:space="preserve">Hadden, J., Tiwari, A., Roy, R., &amp; Ruta, D. (2007). Computer Assisted Customer Churn Management: State-of-the-Art and Future Trends. Computers &amp; Operations Research, 34(10), 2902–2917.</w:t>
      </w:r>
    </w:p>
    <w:p>
      <w:pPr>
        <w:pStyle w:val="ListParagraph"/>
        <w:numPr>
          <w:ilvl w:val="0"/>
          <w:numId w:val="2"/>
        </w:numPr>
        <w:spacing w:after="40" w:before="40"/>
      </w:pPr>
      <w:r>
        <w:rPr>
          <w:rFonts w:ascii="Arial" w:cs="Arial" w:eastAsia="Arial" w:hAnsi="Arial"/>
          <w:sz w:val="22"/>
          <w:szCs w:val="22"/>
        </w:rPr>
        <w:t xml:space="preserve">Vafeiadis, T., et al. (2015). A comparison of machine learning techniques for customer churn prediction. Simulation Modelling Practice and Theory, 55, 1–9.</w:t>
      </w:r>
    </w:p>
    <w:p>
      <w:pPr>
        <w:pStyle w:val="ListParagraph"/>
        <w:numPr>
          <w:ilvl w:val="0"/>
          <w:numId w:val="2"/>
        </w:numPr>
        <w:spacing w:after="40" w:before="40"/>
      </w:pPr>
      <w:r>
        <w:rPr>
          <w:rFonts w:ascii="Arial" w:cs="Arial" w:eastAsia="Arial" w:hAnsi="Arial"/>
          <w:sz w:val="22"/>
          <w:szCs w:val="22"/>
        </w:rPr>
        <w:t xml:space="preserve">Amin, A., et al. (2019). Customer churn prediction in telecommunication sector using rough set approach. Neurocomputing, 237, 242–254.</w:t>
      </w:r>
    </w:p>
    <w:p>
      <w:pPr>
        <w:pStyle w:val="ListParagraph"/>
        <w:numPr>
          <w:ilvl w:val="0"/>
          <w:numId w:val="2"/>
        </w:numPr>
        <w:spacing w:after="40" w:before="40"/>
      </w:pPr>
      <w:r>
        <w:rPr>
          <w:rFonts w:ascii="Arial" w:cs="Arial" w:eastAsia="Arial" w:hAnsi="Arial"/>
          <w:sz w:val="22"/>
          <w:szCs w:val="22"/>
        </w:rPr>
        <w:t xml:space="preserve">Unified Mentor. (2024). Customer Segmentation &amp; Churn Pattern Analytics in European Banking — Project Technical Documentation.</w:t>
      </w:r>
    </w:p>
    <w:p>
      <w:pPr>
        <w:pStyle w:val="ListParagraph"/>
        <w:numPr>
          <w:ilvl w:val="0"/>
          <w:numId w:val="2"/>
        </w:numPr>
        <w:spacing w:after="40" w:before="40"/>
      </w:pPr>
      <w:r>
        <w:rPr>
          <w:rFonts w:ascii="Arial" w:cs="Arial" w:eastAsia="Arial" w:hAnsi="Arial"/>
          <w:sz w:val="22"/>
          <w:szCs w:val="22"/>
        </w:rPr>
        <w:t xml:space="preserve">Pandas Development Team. (2023). pandas: Powerful Python Data Analysis Toolkit. https://pandas.pydata.org</w:t>
      </w:r>
    </w:p>
    <w:p>
      <w:pPr>
        <w:pStyle w:val="ListParagraph"/>
        <w:numPr>
          <w:ilvl w:val="0"/>
          <w:numId w:val="2"/>
        </w:numPr>
        <w:spacing w:after="40" w:before="40"/>
      </w:pPr>
      <w:r>
        <w:rPr>
          <w:rFonts w:ascii="Arial" w:cs="Arial" w:eastAsia="Arial" w:hAnsi="Arial"/>
          <w:sz w:val="22"/>
          <w:szCs w:val="22"/>
        </w:rPr>
        <w:t xml:space="preserve">Plotly Technologies Inc. (2023). Plotly Python Graphing Library. https://plotly.com</w:t>
      </w:r>
    </w:p>
    <w:p>
      <w:pPr>
        <w:pStyle w:val="ListParagraph"/>
        <w:numPr>
          <w:ilvl w:val="0"/>
          <w:numId w:val="2"/>
        </w:numPr>
        <w:spacing w:after="40" w:before="40"/>
      </w:pPr>
      <w:r>
        <w:rPr>
          <w:rFonts w:ascii="Arial" w:cs="Arial" w:eastAsia="Arial" w:hAnsi="Arial"/>
          <w:sz w:val="22"/>
          <w:szCs w:val="22"/>
        </w:rPr>
        <w:t xml:space="preserve">Streamlit Inc. (2024). Streamlit — The fastest way to build and share data apps. https://streamlit.io</w:t>
      </w:r>
    </w:p>
    <w:p>
      <w:pPr>
        <w:spacing w:after="80" w:before="0"/>
      </w:pPr>
      <w:r>
        <w:t xml:space="preserve"/>
      </w:r>
    </w:p>
    <w:p>
      <w:pPr>
        <w:spacing w:after="80" w:before="0"/>
      </w:pPr>
      <w:r>
        <w:t xml:space="preserve"/>
      </w:r>
    </w:p>
    <w:p>
      <w:pPr>
        <w:pBdr>
          <w:bottom w:val="single" w:color="2E75B6" w:sz="6" w:space="1"/>
        </w:pBdr>
        <w:spacing w:after="60" w:before="60"/>
      </w:pPr>
    </w:p>
    <w:p>
      <w:pPr>
        <w:spacing w:after="40" w:before="120"/>
        <w:jc w:val="center"/>
      </w:pPr>
      <w:r>
        <w:rPr>
          <w:rFonts w:ascii="Arial" w:cs="Arial" w:eastAsia="Arial" w:hAnsi="Arial"/>
          <w:b/>
          <w:bCs/>
          <w:color w:val="1F3864"/>
          <w:sz w:val="20"/>
          <w:szCs w:val="20"/>
        </w:rPr>
        <w:t xml:space="preserve">Srija  |  Data Science Intern — Unified Mentor</w:t>
      </w:r>
    </w:p>
    <w:p>
      <w:pPr>
        <w:spacing w:after="40" w:before="0"/>
        <w:jc w:val="center"/>
      </w:pPr>
      <w:r>
        <w:rPr>
          <w:rFonts w:ascii="Arial" w:cs="Arial" w:eastAsia="Arial" w:hAnsi="Arial"/>
          <w:i/>
          <w:iCs/>
          <w:color w:val="666666"/>
          <w:sz w:val="18"/>
          <w:szCs w:val="18"/>
        </w:rPr>
        <w:t xml:space="preserve">Project: Customer Segmentation &amp; Churn Pattern Analytics in European Banking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60"/>
    </w:pPr>
    <w:r>
      <w:rPr>
        <w:rFonts w:ascii="Arial" w:cs="Arial" w:eastAsia="Arial" w:hAnsi="Arial"/>
        <w:color w:val="666666"/>
        <w:sz w:val="18"/>
        <w:szCs w:val="18"/>
      </w:rPr>
      <w:t xml:space="preserve">Srija  |  Data Science Internship</w:t>
    </w:r>
    <w:r>
      <w:rPr>
        <w:rFonts w:ascii="Arial" w:cs="Arial" w:eastAsia="Arial" w:hAnsi="Arial"/>
        <w:color w:val="666666"/>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pPr>
    <w:r>
      <w:rPr>
        <w:rFonts w:ascii="Arial" w:cs="Arial" w:eastAsia="Arial" w:hAnsi="Arial"/>
        <w:color w:val="666666"/>
        <w:sz w:val="18"/>
        <w:szCs w:val="18"/>
      </w:rPr>
      <w:t xml:space="preserve">Customer Segmentation &amp; Churn Pattern Analytics in European Banking</w:t>
    </w:r>
    <w:r>
      <w:rPr>
        <w:rFonts w:ascii="Arial" w:cs="Arial" w:eastAsia="Arial" w:hAnsi="Arial"/>
        <w:color w:val="999999"/>
        <w:sz w:val="18"/>
        <w:szCs w:val="18"/>
      </w:rPr>
      <w:t xml:space="preserve">  |  Unified Mentor Data Science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2026-06-16T06:48:24.932Z</dcterms:created>
  <dcterms:modified xsi:type="dcterms:W3CDTF">2026-06-16T06:48:24.933Z</dcterms:modified>
</cp:coreProperties>
</file>

<file path=docProps/custom.xml><?xml version="1.0" encoding="utf-8"?>
<Properties xmlns="http://schemas.openxmlformats.org/officeDocument/2006/custom-properties" xmlns:vt="http://schemas.openxmlformats.org/officeDocument/2006/docPropsVTypes"/>
</file>