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76" w:lineRule="auto"/>
        <w:jc w:val="center"/>
      </w:pPr>
      <w:r>
        <w:rPr>
          <w:rFonts w:ascii="Helvetica Neue" w:cs="Helvetica Neue" w:eastAsia="Helvetica Neue" w:hAnsi="Helvetica Neue"/>
          <w:b/>
          <w:bCs/>
          <w:i w:val="false"/>
          <w:iCs w:val="false"/>
          <w:color w:val="1A1A1A"/>
          <w:sz w:val="36"/>
          <w:szCs w:val="36"/>
        </w:rPr>
        <w:t xml:space="preserve">Thanos Vassilakis</w:t>
      </w:r>
    </w:p>
    <w:p>
      <w:pPr>
        <w:spacing w:after="80" w:before="0" w:line="331" w:lineRule="auto"/>
      </w:pPr>
      <w:r>
        <w:rPr>
          <w:rFonts w:ascii="Palatino Linotype" w:cs="Palatino Linotype" w:eastAsia="Palatino Linotype" w:hAnsi="Palatino Linotype"/>
          <w:b/>
          <w:bCs/>
          <w:i w:val="false"/>
          <w:iCs w:val="false"/>
          <w:color w:val="1A1A1A"/>
          <w:sz w:val="21"/>
          <w:szCs w:val="21"/>
        </w:rPr>
        <w:t xml:space="preserve">Email:</w:t>
      </w:r>
      <w:r>
        <w:rPr>
          <w:rFonts w:ascii="Palatino Linotype" w:cs="Palatino Linotype" w:eastAsia="Palatino Linotype" w:hAnsi="Palatino Linotype"/>
          <w:b w:val="false"/>
          <w:bCs w:val="false"/>
          <w:i w:val="false"/>
          <w:iCs w:val="false"/>
          <w:color w:val="1A1A1A"/>
          <w:sz w:val="21"/>
          <w:szCs w:val="21"/>
        </w:rPr>
        <w:t xml:space="preserve"> </w:t>
      </w:r>
      <w:hyperlink w:history="1" r:id="rIdbcru5ngvilrbxtxol7ud3">
        <w:r>
          <w:rPr>
            <w:rFonts w:ascii="Palatino Linotype" w:cs="Palatino Linotype" w:eastAsia="Palatino Linotype" w:hAnsi="Palatino Linotype"/>
            <w:b w:val="false"/>
            <w:bCs w:val="false"/>
            <w:color w:val="1A365D"/>
            <w:sz w:val="21"/>
            <w:szCs w:val="21"/>
            <w:u w:val="none"/>
          </w:rPr>
          <w:t xml:space="preserve">thanosv@gmail.com</w:t>
        </w:r>
      </w:hyperlink>
      <w:r>
        <w:rPr>
          <w:rFonts w:ascii="Palatino Linotype" w:cs="Palatino Linotype" w:eastAsia="Palatino Linotype" w:hAnsi="Palatino Linotype"/>
          <w:b w:val="false"/>
          <w:bCs w:val="false"/>
          <w:i w:val="false"/>
          <w:iCs w:val="false"/>
          <w:color w:val="1A1A1A"/>
          <w:sz w:val="21"/>
          <w:szCs w:val="21"/>
        </w:rPr>
        <w:t xml:space="preserve"> | </w:t>
      </w:r>
      <w:r>
        <w:rPr>
          <w:rFonts w:ascii="Palatino Linotype" w:cs="Palatino Linotype" w:eastAsia="Palatino Linotype" w:hAnsi="Palatino Linotype"/>
          <w:b/>
          <w:bCs/>
          <w:i w:val="false"/>
          <w:iCs w:val="false"/>
          <w:color w:val="1A1A1A"/>
          <w:sz w:val="21"/>
          <w:szCs w:val="21"/>
        </w:rPr>
        <w:t xml:space="preserve">Phone:</w:t>
      </w:r>
      <w:r>
        <w:rPr>
          <w:rFonts w:ascii="Palatino Linotype" w:cs="Palatino Linotype" w:eastAsia="Palatino Linotype" w:hAnsi="Palatino Linotype"/>
          <w:b w:val="false"/>
          <w:bCs w:val="false"/>
          <w:i w:val="false"/>
          <w:iCs w:val="false"/>
          <w:color w:val="1A1A1A"/>
          <w:sz w:val="21"/>
          <w:szCs w:val="21"/>
        </w:rPr>
        <w:t xml:space="preserve"> +1-917-517-5912 | </w:t>
      </w:r>
      <w:r>
        <w:rPr>
          <w:rFonts w:ascii="Palatino Linotype" w:cs="Palatino Linotype" w:eastAsia="Palatino Linotype" w:hAnsi="Palatino Linotype"/>
          <w:b/>
          <w:bCs/>
          <w:i w:val="false"/>
          <w:iCs w:val="false"/>
          <w:color w:val="1A1A1A"/>
          <w:sz w:val="21"/>
          <w:szCs w:val="21"/>
        </w:rPr>
        <w:t xml:space="preserve">GitHub:</w:t>
      </w:r>
      <w:r>
        <w:rPr>
          <w:rFonts w:ascii="Palatino Linotype" w:cs="Palatino Linotype" w:eastAsia="Palatino Linotype" w:hAnsi="Palatino Linotype"/>
          <w:b w:val="false"/>
          <w:bCs w:val="false"/>
          <w:i w:val="false"/>
          <w:iCs w:val="false"/>
          <w:color w:val="1A1A1A"/>
          <w:sz w:val="21"/>
          <w:szCs w:val="21"/>
        </w:rPr>
        <w:t xml:space="preserve"> </w:t>
      </w:r>
      <w:hyperlink w:history="1" r:id="rIdhyacgqhdlttvjiiiwgsaz">
        <w:r>
          <w:rPr>
            <w:rFonts w:ascii="Palatino Linotype" w:cs="Palatino Linotype" w:eastAsia="Palatino Linotype" w:hAnsi="Palatino Linotype"/>
            <w:b w:val="false"/>
            <w:bCs w:val="false"/>
            <w:color w:val="1A365D"/>
            <w:sz w:val="21"/>
            <w:szCs w:val="21"/>
            <w:u w:val="none"/>
          </w:rPr>
          <w:t xml:space="preserve">github.com/thanos</w:t>
        </w:r>
      </w:hyperlink>
    </w:p>
    <w:p>
      <w:pPr>
        <w:spacing w:after="80" w:before="0" w:line="331" w:lineRule="auto"/>
      </w:pPr>
      <w:r>
        <w:rPr>
          <w:rFonts w:ascii="Palatino Linotype" w:cs="Palatino Linotype" w:eastAsia="Palatino Linotype" w:hAnsi="Palatino Linotype"/>
          <w:b/>
          <w:bCs/>
          <w:i w:val="false"/>
          <w:iCs w:val="false"/>
          <w:color w:val="1A1A1A"/>
          <w:sz w:val="21"/>
          <w:szCs w:val="21"/>
        </w:rPr>
        <w:t xml:space="preserve">Distinguished Engineer</w:t>
      </w:r>
    </w:p>
    <w:p>
      <w:pPr>
        <w:spacing w:after="80" w:before="0" w:line="331" w:lineRule="auto"/>
      </w:pPr>
      <w:r>
        <w:rPr>
          <w:rFonts w:ascii="Palatino Linotype" w:cs="Palatino Linotype" w:eastAsia="Palatino Linotype" w:hAnsi="Palatino Linotype"/>
          <w:b w:val="false"/>
          <w:bCs w:val="false"/>
          <w:i w:val="false"/>
          <w:iCs w:val="false"/>
          <w:color w:val="1A1A1A"/>
          <w:sz w:val="21"/>
          <w:szCs w:val="21"/>
        </w:rPr>
        <w:t xml:space="preserve">MD, Head of AI and Architecture for Finance IT.</w:t>
      </w:r>
    </w:p>
    <w:p>
      <w:pPr>
        <w:spacing w:after="80" w:before="0" w:line="331" w:lineRule="auto"/>
      </w:pPr>
      <w:hyperlink w:history="1" r:id="rId-onbsuovayegon0-i7wms">
        <w:r>
          <w:rPr>
            <w:rFonts w:ascii="Palatino Linotype" w:cs="Palatino Linotype" w:eastAsia="Palatino Linotype" w:hAnsi="Palatino Linotype"/>
            <w:b w:val="false"/>
            <w:bCs w:val="false"/>
            <w:color w:val="1A365D"/>
            <w:sz w:val="21"/>
            <w:szCs w:val="21"/>
            <w:u w:val="none"/>
          </w:rPr>
          <w:t xml:space="preserve">What does Google say about Thanos</w:t>
        </w:r>
      </w:hyperlink>
    </w:p>
    <w:p>
      <w:pPr>
        <w:pBdr>
          <w:bottom w:val="single" w:color="222222" w:sz="6" w:space="1"/>
        </w:pBdr>
        <w:spacing w:after="80" w:before="220" w:line="276" w:lineRule="auto"/>
      </w:pPr>
      <w:r>
        <w:rPr>
          <w:rFonts w:ascii="Helvetica Neue" w:cs="Helvetica Neue" w:eastAsia="Helvetica Neue" w:hAnsi="Helvetica Neue"/>
          <w:b/>
          <w:bCs/>
          <w:i w:val="false"/>
          <w:iCs w:val="false"/>
          <w:color w:val="1A1A1A"/>
          <w:spacing w:val="28"/>
          <w:sz w:val="19"/>
          <w:szCs w:val="19"/>
        </w:rPr>
        <w:t xml:space="preserve">EXECUTIVE SUMMARY</w:t>
      </w:r>
    </w:p>
    <w:p>
      <w:pPr>
        <w:spacing w:after="80" w:before="0" w:line="331" w:lineRule="auto"/>
      </w:pPr>
      <w:r>
        <w:rPr>
          <w:rFonts w:ascii="Palatino Linotype" w:cs="Palatino Linotype" w:eastAsia="Palatino Linotype" w:hAnsi="Palatino Linotype"/>
          <w:b w:val="false"/>
          <w:bCs w:val="false"/>
          <w:i w:val="false"/>
          <w:iCs w:val="false"/>
          <w:color w:val="1A1A1A"/>
          <w:sz w:val="21"/>
          <w:szCs w:val="21"/>
        </w:rPr>
        <w:t xml:space="preserve">Accomplished technology executive with over 20 years of experience driving transformation and innovation in the financial services sector. Demonstrated expertise in leading large-scale development initiatives, leveraging disruptive technologies, and fostering an entrepreneurial culture within established organizations. Proven record of enhancing income generation through strategic technology integration and operational efficiency. Adept at creating inclusive environments that empower teams and encourage collaboration to drive progress and maximize business impact. My career is characterized by a commitment to continuous learning, mentorship, and the pursuit of excellence in technology and its application in the finance industry.</w:t>
      </w:r>
    </w:p>
    <w:p>
      <w:pPr>
        <w:pBdr>
          <w:bottom w:val="single" w:color="222222" w:sz="6" w:space="1"/>
        </w:pBdr>
        <w:spacing w:after="80" w:before="220" w:line="276" w:lineRule="auto"/>
      </w:pPr>
      <w:r>
        <w:rPr>
          <w:rFonts w:ascii="Helvetica Neue" w:cs="Helvetica Neue" w:eastAsia="Helvetica Neue" w:hAnsi="Helvetica Neue"/>
          <w:b/>
          <w:bCs/>
          <w:i w:val="false"/>
          <w:iCs w:val="false"/>
          <w:color w:val="1A1A1A"/>
          <w:spacing w:val="28"/>
          <w:sz w:val="19"/>
          <w:szCs w:val="19"/>
        </w:rPr>
        <w:t xml:space="preserve">CURRENT MANDATE</w:t>
      </w:r>
    </w:p>
    <w:p>
      <w:pPr>
        <w:pStyle w:val="ListParagraph"/>
        <w:numPr>
          <w:ilvl w:val="0"/>
          <w:numId w:val="2"/>
        </w:numPr>
        <w:spacing w:after="40" w:before="0" w:line="331" w:lineRule="auto"/>
      </w:pPr>
      <w:r>
        <w:rPr>
          <w:rFonts w:ascii="Palatino Linotype" w:cs="Palatino Linotype" w:eastAsia="Palatino Linotype" w:hAnsi="Palatino Linotype"/>
          <w:b w:val="false"/>
          <w:bCs w:val="false"/>
          <w:i w:val="false"/>
          <w:iCs w:val="false"/>
          <w:color w:val="1A1A1A"/>
          <w:sz w:val="21"/>
          <w:szCs w:val="21"/>
        </w:rPr>
        <w:t xml:space="preserve">Technical ownership of GL migration from zOS/DB2 to Linux/Oracle and Sub-ledger modernization.</w:t>
      </w:r>
    </w:p>
    <w:p>
      <w:pPr>
        <w:pStyle w:val="ListParagraph"/>
        <w:numPr>
          <w:ilvl w:val="0"/>
          <w:numId w:val="2"/>
        </w:numPr>
        <w:spacing w:after="40" w:before="0" w:line="331" w:lineRule="auto"/>
      </w:pPr>
      <w:r>
        <w:rPr>
          <w:rFonts w:ascii="Palatino Linotype" w:cs="Palatino Linotype" w:eastAsia="Palatino Linotype" w:hAnsi="Palatino Linotype"/>
          <w:b w:val="false"/>
          <w:bCs w:val="false"/>
          <w:i w:val="false"/>
          <w:iCs w:val="false"/>
          <w:color w:val="1A1A1A"/>
          <w:sz w:val="21"/>
          <w:szCs w:val="21"/>
        </w:rPr>
        <w:t xml:space="preserve">Drive modernization and AI adoption of RBC Finance IT.</w:t>
      </w:r>
    </w:p>
    <w:p>
      <w:pPr>
        <w:pBdr>
          <w:bottom w:val="single" w:color="222222" w:sz="6" w:space="1"/>
        </w:pBdr>
        <w:spacing w:after="80" w:before="220" w:line="276" w:lineRule="auto"/>
      </w:pPr>
      <w:r>
        <w:rPr>
          <w:rFonts w:ascii="Helvetica Neue" w:cs="Helvetica Neue" w:eastAsia="Helvetica Neue" w:hAnsi="Helvetica Neue"/>
          <w:b/>
          <w:bCs/>
          <w:i w:val="false"/>
          <w:iCs w:val="false"/>
          <w:color w:val="1A1A1A"/>
          <w:spacing w:val="28"/>
          <w:sz w:val="19"/>
          <w:szCs w:val="19"/>
        </w:rPr>
        <w:t xml:space="preserve">WHAT I'VE RUN AT RBC</w:t>
      </w:r>
    </w:p>
    <w:p>
      <w:pPr>
        <w:spacing w:after="80" w:before="0" w:line="331" w:lineRule="auto"/>
      </w:pPr>
      <w:r>
        <w:rPr>
          <w:rFonts w:ascii="Palatino Linotype" w:cs="Palatino Linotype" w:eastAsia="Palatino Linotype" w:hAnsi="Palatino Linotype"/>
          <w:b w:val="false"/>
          <w:bCs w:val="false"/>
          <w:i w:val="false"/>
          <w:iCs w:val="false"/>
          <w:color w:val="1A1A1A"/>
          <w:sz w:val="21"/>
          <w:szCs w:val="21"/>
        </w:rPr>
        <w:t xml:space="preserve">A multi national group of 166, 47% diversity, and with full-time teams in Canada, US, UK, Malaysia, Mexico, and consultants in India with a current budget of just over 30m.</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Architecture for Operations</w:t>
      </w:r>
      <w:r>
        <w:rPr>
          <w:rFonts w:ascii="Palatino Linotype" w:cs="Palatino Linotype" w:eastAsia="Palatino Linotype" w:hAnsi="Palatino Linotype"/>
          <w:b w:val="false"/>
          <w:bCs w:val="false"/>
          <w:i w:val="false"/>
          <w:iCs w:val="false"/>
          <w:color w:val="1A1A1A"/>
          <w:sz w:val="21"/>
          <w:szCs w:val="21"/>
        </w:rPr>
        <w:t xml:space="preserve"> -- driving modernizing in reporting, monitoring, and the confirmation and settlement landscape, plus overseeing all development and vendor acquisitions in operations.</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Access Control</w:t>
      </w:r>
      <w:r>
        <w:rPr>
          <w:rFonts w:ascii="Palatino Linotype" w:cs="Palatino Linotype" w:eastAsia="Palatino Linotype" w:hAnsi="Palatino Linotype"/>
          <w:b w:val="false"/>
          <w:bCs w:val="false"/>
          <w:i w:val="false"/>
          <w:iCs w:val="false"/>
          <w:color w:val="1A1A1A"/>
          <w:sz w:val="21"/>
          <w:szCs w:val="21"/>
        </w:rPr>
        <w:t xml:space="preserve"> -- a central access management services for 1k+ apps and services in Capital Markets.</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Enterprise Reconciliation Service</w:t>
      </w:r>
      <w:r>
        <w:rPr>
          <w:rFonts w:ascii="Palatino Linotype" w:cs="Palatino Linotype" w:eastAsia="Palatino Linotype" w:hAnsi="Palatino Linotype"/>
          <w:b w:val="false"/>
          <w:bCs w:val="false"/>
          <w:i w:val="false"/>
          <w:iCs w:val="false"/>
          <w:color w:val="1A1A1A"/>
          <w:sz w:val="21"/>
          <w:szCs w:val="21"/>
        </w:rPr>
        <w:t xml:space="preserve"> -- built in-house processing 300 realtime and 2k+ daily reconciliations using ML and GPU matching.</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Trade Expense Management.</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Expense Reporting Service</w:t>
      </w:r>
      <w:r>
        <w:rPr>
          <w:rFonts w:ascii="Palatino Linotype" w:cs="Palatino Linotype" w:eastAsia="Palatino Linotype" w:hAnsi="Palatino Linotype"/>
          <w:b w:val="false"/>
          <w:bCs w:val="false"/>
          <w:i w:val="false"/>
          <w:iCs w:val="false"/>
          <w:color w:val="1A1A1A"/>
          <w:sz w:val="21"/>
          <w:szCs w:val="21"/>
        </w:rPr>
        <w:t xml:space="preserve"> for Capital Markets.</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Global Market Supervision</w:t>
      </w:r>
      <w:r>
        <w:rPr>
          <w:rFonts w:ascii="Palatino Linotype" w:cs="Palatino Linotype" w:eastAsia="Palatino Linotype" w:hAnsi="Palatino Linotype"/>
          <w:b w:val="false"/>
          <w:bCs w:val="false"/>
          <w:i w:val="false"/>
          <w:iCs w:val="false"/>
          <w:color w:val="1A1A1A"/>
          <w:sz w:val="21"/>
          <w:szCs w:val="21"/>
        </w:rPr>
        <w:t xml:space="preserve"> -- an event driven service that is now using ML and hierarchical agents state service to model behavior and generate required reports by SEC, FINRA, UK and European regulators.</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Market Access, Trade Limits Control</w:t>
      </w:r>
      <w:r>
        <w:rPr>
          <w:rFonts w:ascii="Palatino Linotype" w:cs="Palatino Linotype" w:eastAsia="Palatino Linotype" w:hAnsi="Palatino Linotype"/>
          <w:b w:val="false"/>
          <w:bCs w:val="false"/>
          <w:i w:val="false"/>
          <w:iCs w:val="false"/>
          <w:color w:val="1A1A1A"/>
          <w:sz w:val="21"/>
          <w:szCs w:val="21"/>
        </w:rPr>
        <w:t xml:space="preserve"> -- a Rule 15c3-5 compliant centralized ML automated trade limits for most all our order management systems.</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ML Pricing Service</w:t>
      </w:r>
      <w:r>
        <w:rPr>
          <w:rFonts w:ascii="Palatino Linotype" w:cs="Palatino Linotype" w:eastAsia="Palatino Linotype" w:hAnsi="Palatino Linotype"/>
          <w:b w:val="false"/>
          <w:bCs w:val="false"/>
          <w:i w:val="false"/>
          <w:iCs w:val="false"/>
          <w:color w:val="1A1A1A"/>
          <w:sz w:val="21"/>
          <w:szCs w:val="21"/>
        </w:rPr>
        <w:t xml:space="preserve"> -- used by the Municipal Bond and Credit Derivative desks. Predicts a fair price for all unique 1.5m bonds in real-time and has beaten our competitor evaluation services every single trading day since it went live 4 years ago.</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All Shared Operation Services</w:t>
      </w:r>
      <w:r>
        <w:rPr>
          <w:rFonts w:ascii="Palatino Linotype" w:cs="Palatino Linotype" w:eastAsia="Palatino Linotype" w:hAnsi="Palatino Linotype"/>
          <w:b w:val="false"/>
          <w:bCs w:val="false"/>
          <w:i w:val="false"/>
          <w:iCs w:val="false"/>
          <w:color w:val="1A1A1A"/>
          <w:sz w:val="21"/>
          <w:szCs w:val="21"/>
        </w:rPr>
        <w:t xml:space="preserve"> -- UI Platforms, Reporting Service, central queuing, Notification, FAS, T+1 Reporting, + Trade Repository for Capital Markets, Wealth Management and Cash Management.</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R&amp;D for Technology</w:t>
      </w:r>
      <w:r>
        <w:rPr>
          <w:rFonts w:ascii="Palatino Linotype" w:cs="Palatino Linotype" w:eastAsia="Palatino Linotype" w:hAnsi="Palatino Linotype"/>
          <w:b w:val="false"/>
          <w:bCs w:val="false"/>
          <w:i w:val="false"/>
          <w:iCs w:val="false"/>
          <w:color w:val="1A1A1A"/>
          <w:sz w:val="21"/>
          <w:szCs w:val="21"/>
        </w:rPr>
        <w:t xml:space="preserve"> -- blockchain, crypto, ML model development, plus inner source and open source stewardship.</w:t>
      </w:r>
    </w:p>
    <w:p>
      <w:pPr>
        <w:pBdr>
          <w:bottom w:val="single" w:color="222222" w:sz="6" w:space="1"/>
        </w:pBdr>
        <w:spacing w:after="80" w:before="220" w:line="276" w:lineRule="auto"/>
      </w:pPr>
      <w:r>
        <w:rPr>
          <w:rFonts w:ascii="Helvetica Neue" w:cs="Helvetica Neue" w:eastAsia="Helvetica Neue" w:hAnsi="Helvetica Neue"/>
          <w:b/>
          <w:bCs/>
          <w:i w:val="false"/>
          <w:iCs w:val="false"/>
          <w:color w:val="1A1A1A"/>
          <w:spacing w:val="28"/>
          <w:sz w:val="19"/>
          <w:szCs w:val="19"/>
        </w:rPr>
        <w:t xml:space="preserve">KEY ACHIEVEMENTS &amp; DELIVERABLES</w:t>
      </w:r>
    </w:p>
    <w:p>
      <w:pPr>
        <w:spacing w:after="40" w:before="140" w:line="276" w:lineRule="auto"/>
      </w:pPr>
      <w:r>
        <w:rPr>
          <w:rFonts w:ascii="Helvetica Neue" w:cs="Helvetica Neue" w:eastAsia="Helvetica Neue" w:hAnsi="Helvetica Neue"/>
          <w:b/>
          <w:bCs/>
          <w:i w:val="false"/>
          <w:iCs w:val="false"/>
          <w:color w:val="1A1A1A"/>
          <w:sz w:val="22"/>
          <w:szCs w:val="22"/>
        </w:rPr>
        <w:t xml:space="preserve">Strategic Cost Optimization &amp; Vendor Consolidation</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Enterprise Reconciliation Service (2025):</w:t>
      </w:r>
      <w:r>
        <w:rPr>
          <w:rFonts w:ascii="Palatino Linotype" w:cs="Palatino Linotype" w:eastAsia="Palatino Linotype" w:hAnsi="Palatino Linotype"/>
          <w:b w:val="false"/>
          <w:bCs w:val="false"/>
          <w:i w:val="false"/>
          <w:iCs w:val="false"/>
          <w:color w:val="1A1A1A"/>
          <w:sz w:val="21"/>
          <w:szCs w:val="21"/>
        </w:rPr>
        <w:t xml:space="preserve"> Architected an in-house solution using ML and GPU matching to displace legacy vendor products, securing </w:t>
      </w:r>
      <w:r>
        <w:rPr>
          <w:rFonts w:ascii="Palatino Linotype" w:cs="Palatino Linotype" w:eastAsia="Palatino Linotype" w:hAnsi="Palatino Linotype"/>
          <w:b/>
          <w:bCs/>
          <w:i w:val="false"/>
          <w:iCs w:val="false"/>
          <w:color w:val="1A1A1A"/>
          <w:sz w:val="21"/>
          <w:szCs w:val="21"/>
        </w:rPr>
        <w:t xml:space="preserve">$7M in annual savings</w:t>
      </w:r>
      <w:r>
        <w:rPr>
          <w:rFonts w:ascii="Palatino Linotype" w:cs="Palatino Linotype" w:eastAsia="Palatino Linotype" w:hAnsi="Palatino Linotype"/>
          <w:b w:val="false"/>
          <w:bCs w:val="false"/>
          <w:i w:val="false"/>
          <w:iCs w:val="false"/>
          <w:color w:val="1A1A1A"/>
          <w:sz w:val="21"/>
          <w:szCs w:val="21"/>
        </w:rPr>
        <w:t xml:space="preserve">.</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Trade Expense Services (2024):</w:t>
      </w:r>
      <w:r>
        <w:rPr>
          <w:rFonts w:ascii="Palatino Linotype" w:cs="Palatino Linotype" w:eastAsia="Palatino Linotype" w:hAnsi="Palatino Linotype"/>
          <w:b w:val="false"/>
          <w:bCs w:val="false"/>
          <w:i w:val="false"/>
          <w:iCs w:val="false"/>
          <w:color w:val="1A1A1A"/>
          <w:sz w:val="21"/>
          <w:szCs w:val="21"/>
        </w:rPr>
        <w:t xml:space="preserve"> Deployed agentic invoice processing to modernize expense management, eliminating external vendor dependencies for </w:t>
      </w:r>
      <w:r>
        <w:rPr>
          <w:rFonts w:ascii="Palatino Linotype" w:cs="Palatino Linotype" w:eastAsia="Palatino Linotype" w:hAnsi="Palatino Linotype"/>
          <w:b/>
          <w:bCs/>
          <w:i w:val="false"/>
          <w:iCs w:val="false"/>
          <w:color w:val="1A1A1A"/>
          <w:sz w:val="21"/>
          <w:szCs w:val="21"/>
        </w:rPr>
        <w:t xml:space="preserve">$11M/year savings</w:t>
      </w:r>
      <w:r>
        <w:rPr>
          <w:rFonts w:ascii="Palatino Linotype" w:cs="Palatino Linotype" w:eastAsia="Palatino Linotype" w:hAnsi="Palatino Linotype"/>
          <w:b w:val="false"/>
          <w:bCs w:val="false"/>
          <w:i w:val="false"/>
          <w:iCs w:val="false"/>
          <w:color w:val="1A1A1A"/>
          <w:sz w:val="21"/>
          <w:szCs w:val="21"/>
        </w:rPr>
        <w:t xml:space="preserve">.</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Global Market Supervision (2023):</w:t>
      </w:r>
      <w:r>
        <w:rPr>
          <w:rFonts w:ascii="Palatino Linotype" w:cs="Palatino Linotype" w:eastAsia="Palatino Linotype" w:hAnsi="Palatino Linotype"/>
          <w:b w:val="false"/>
          <w:bCs w:val="false"/>
          <w:i w:val="false"/>
          <w:iCs w:val="false"/>
          <w:color w:val="1A1A1A"/>
          <w:sz w:val="21"/>
          <w:szCs w:val="21"/>
        </w:rPr>
        <w:t xml:space="preserve"> Engineered an event-driven, real-time supervision service that replaced third-party systems.</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Post-Trade Modernization (2024):</w:t>
      </w:r>
      <w:r>
        <w:rPr>
          <w:rFonts w:ascii="Palatino Linotype" w:cs="Palatino Linotype" w:eastAsia="Palatino Linotype" w:hAnsi="Palatino Linotype"/>
          <w:b w:val="false"/>
          <w:bCs w:val="false"/>
          <w:i w:val="false"/>
          <w:iCs w:val="false"/>
          <w:color w:val="1A1A1A"/>
          <w:sz w:val="21"/>
          <w:szCs w:val="21"/>
        </w:rPr>
        <w:t xml:space="preserve"> Built T+1 infrastructure and post-trade processing services, ensuring regulatory compliance.</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Access Control Modernization (2023):</w:t>
      </w:r>
      <w:r>
        <w:rPr>
          <w:rFonts w:ascii="Palatino Linotype" w:cs="Palatino Linotype" w:eastAsia="Palatino Linotype" w:hAnsi="Palatino Linotype"/>
          <w:b w:val="false"/>
          <w:bCs w:val="false"/>
          <w:i w:val="false"/>
          <w:iCs w:val="false"/>
          <w:color w:val="1A1A1A"/>
          <w:sz w:val="21"/>
          <w:szCs w:val="21"/>
        </w:rPr>
        <w:t xml:space="preserve"> Centralized application access control for over 1,000 apps.</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Governance &amp; Data (2023):</w:t>
      </w:r>
      <w:r>
        <w:rPr>
          <w:rFonts w:ascii="Palatino Linotype" w:cs="Palatino Linotype" w:eastAsia="Palatino Linotype" w:hAnsi="Palatino Linotype"/>
          <w:b w:val="false"/>
          <w:bCs w:val="false"/>
          <w:i w:val="false"/>
          <w:iCs w:val="false"/>
          <w:color w:val="1A1A1A"/>
          <w:sz w:val="21"/>
          <w:szCs w:val="21"/>
        </w:rPr>
        <w:t xml:space="preserve"> Internalized Reference Data Services and ML-based Trade Limits Governance.</w:t>
      </w:r>
    </w:p>
    <w:p>
      <w:pPr>
        <w:spacing w:after="40" w:before="140" w:line="276" w:lineRule="auto"/>
      </w:pPr>
      <w:r>
        <w:rPr>
          <w:rFonts w:ascii="Helvetica Neue" w:cs="Helvetica Neue" w:eastAsia="Helvetica Neue" w:hAnsi="Helvetica Neue"/>
          <w:b/>
          <w:bCs/>
          <w:i w:val="false"/>
          <w:iCs w:val="false"/>
          <w:color w:val="1A1A1A"/>
          <w:sz w:val="22"/>
          <w:szCs w:val="22"/>
        </w:rPr>
        <w:t xml:space="preserve">AI, Machine Learning &amp; Quantitative Platforms</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Pricing &amp; Risk:</w:t>
      </w:r>
      <w:r>
        <w:rPr>
          <w:rFonts w:ascii="Palatino Linotype" w:cs="Palatino Linotype" w:eastAsia="Palatino Linotype" w:hAnsi="Palatino Linotype"/>
          <w:b w:val="false"/>
          <w:bCs w:val="false"/>
          <w:i w:val="false"/>
          <w:iCs w:val="false"/>
          <w:color w:val="1A1A1A"/>
          <w:sz w:val="21"/>
          <w:szCs w:val="21"/>
        </w:rPr>
        <w:t xml:space="preserve"> Developed ML-based real-time pricing models for municipal bonds and credit derivatives, alongside real-time Position and PnL systems (2020).</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ML Infrastructure:</w:t>
      </w:r>
      <w:r>
        <w:rPr>
          <w:rFonts w:ascii="Palatino Linotype" w:cs="Palatino Linotype" w:eastAsia="Palatino Linotype" w:hAnsi="Palatino Linotype"/>
          <w:b w:val="false"/>
          <w:bCs w:val="false"/>
          <w:i w:val="false"/>
          <w:iCs w:val="false"/>
          <w:color w:val="1A1A1A"/>
          <w:sz w:val="21"/>
          <w:szCs w:val="21"/>
        </w:rPr>
        <w:t xml:space="preserve"> Delivered an ML Model execution and scoring service (2018) to operationalize data science initiatives.</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Data Strategy:</w:t>
      </w:r>
      <w:r>
        <w:rPr>
          <w:rFonts w:ascii="Palatino Linotype" w:cs="Palatino Linotype" w:eastAsia="Palatino Linotype" w:hAnsi="Palatino Linotype"/>
          <w:b w:val="false"/>
          <w:bCs w:val="false"/>
          <w:i w:val="false"/>
          <w:iCs w:val="false"/>
          <w:color w:val="1A1A1A"/>
          <w:sz w:val="21"/>
          <w:szCs w:val="21"/>
        </w:rPr>
        <w:t xml:space="preserve"> Established the Capital Markets Data Lake (2016) and a Single Data Interface SDK (2019) to standardize data access.</w:t>
      </w:r>
    </w:p>
    <w:p>
      <w:pPr>
        <w:spacing w:after="40" w:before="140" w:line="276" w:lineRule="auto"/>
      </w:pPr>
      <w:r>
        <w:rPr>
          <w:rFonts w:ascii="Helvetica Neue" w:cs="Helvetica Neue" w:eastAsia="Helvetica Neue" w:hAnsi="Helvetica Neue"/>
          <w:b/>
          <w:bCs/>
          <w:i w:val="false"/>
          <w:iCs w:val="false"/>
          <w:color w:val="1A1A1A"/>
          <w:sz w:val="22"/>
          <w:szCs w:val="22"/>
        </w:rPr>
        <w:t xml:space="preserve">Core Infrastructure &amp; Technology Transformation</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Engineering Leadership:</w:t>
      </w:r>
      <w:r>
        <w:rPr>
          <w:rFonts w:ascii="Palatino Linotype" w:cs="Palatino Linotype" w:eastAsia="Palatino Linotype" w:hAnsi="Palatino Linotype"/>
          <w:b w:val="false"/>
          <w:bCs w:val="false"/>
          <w:i w:val="false"/>
          <w:iCs w:val="false"/>
          <w:color w:val="1A1A1A"/>
          <w:sz w:val="21"/>
          <w:szCs w:val="21"/>
        </w:rPr>
        <w:t xml:space="preserve"> Built and scaled high-performance development teams across Kuala Lumpur, Halifax, and Montreal.</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Language Adoption:</w:t>
      </w:r>
      <w:r>
        <w:rPr>
          <w:rFonts w:ascii="Palatino Linotype" w:cs="Palatino Linotype" w:eastAsia="Palatino Linotype" w:hAnsi="Palatino Linotype"/>
          <w:b w:val="false"/>
          <w:bCs w:val="false"/>
          <w:i w:val="false"/>
          <w:iCs w:val="false"/>
          <w:color w:val="1A1A1A"/>
          <w:sz w:val="21"/>
          <w:szCs w:val="21"/>
        </w:rPr>
        <w:t xml:space="preserve"> Successfully introduced and standardized Python (2010) and Elixir (2017) within the enterprise technology stack.</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Platform Engineering:</w:t>
      </w:r>
      <w:r>
        <w:rPr>
          <w:rFonts w:ascii="Palatino Linotype" w:cs="Palatino Linotype" w:eastAsia="Palatino Linotype" w:hAnsi="Palatino Linotype"/>
          <w:b w:val="false"/>
          <w:bCs w:val="false"/>
          <w:i w:val="false"/>
          <w:iCs w:val="false"/>
          <w:color w:val="1A1A1A"/>
          <w:sz w:val="21"/>
          <w:szCs w:val="21"/>
        </w:rPr>
        <w:t xml:space="preserve"> Architected critical infrastructure including Distributed Compute Service (2018), Function-as-a-Service (Lambda) (2017), and Central Logging (2017).</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Trading Cores:</w:t>
      </w:r>
      <w:r>
        <w:rPr>
          <w:rFonts w:ascii="Palatino Linotype" w:cs="Palatino Linotype" w:eastAsia="Palatino Linotype" w:hAnsi="Palatino Linotype"/>
          <w:b w:val="false"/>
          <w:bCs w:val="false"/>
          <w:i w:val="false"/>
          <w:iCs w:val="false"/>
          <w:color w:val="1A1A1A"/>
          <w:sz w:val="21"/>
          <w:szCs w:val="21"/>
        </w:rPr>
        <w:t xml:space="preserve"> Built the Real-time Trading Data Core (Athena-style, 2018) and the Cash Management Real-time Core with virtual accounts.</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Innovation:</w:t>
      </w:r>
      <w:r>
        <w:rPr>
          <w:rFonts w:ascii="Palatino Linotype" w:cs="Palatino Linotype" w:eastAsia="Palatino Linotype" w:hAnsi="Palatino Linotype"/>
          <w:b w:val="false"/>
          <w:bCs w:val="false"/>
          <w:i w:val="false"/>
          <w:iCs w:val="false"/>
          <w:color w:val="1A1A1A"/>
          <w:sz w:val="21"/>
          <w:szCs w:val="21"/>
        </w:rPr>
        <w:t xml:space="preserve"> Developed a Tokenization Platform (2022) to advance digital asset capabilities.</w:t>
      </w:r>
    </w:p>
    <w:p>
      <w:pPr>
        <w:spacing w:after="40" w:before="140" w:line="276" w:lineRule="auto"/>
      </w:pPr>
      <w:r>
        <w:rPr>
          <w:rFonts w:ascii="Helvetica Neue" w:cs="Helvetica Neue" w:eastAsia="Helvetica Neue" w:hAnsi="Helvetica Neue"/>
          <w:b/>
          <w:bCs/>
          <w:i w:val="false"/>
          <w:iCs w:val="false"/>
          <w:color w:val="1A1A1A"/>
          <w:sz w:val="22"/>
          <w:szCs w:val="22"/>
        </w:rPr>
        <w:t xml:space="preserve">Regulatory &amp; Compliance</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Risk &amp; Reporting:</w:t>
      </w:r>
      <w:r>
        <w:rPr>
          <w:rFonts w:ascii="Palatino Linotype" w:cs="Palatino Linotype" w:eastAsia="Palatino Linotype" w:hAnsi="Palatino Linotype"/>
          <w:b w:val="false"/>
          <w:bCs w:val="false"/>
          <w:i w:val="false"/>
          <w:iCs w:val="false"/>
          <w:color w:val="1A1A1A"/>
          <w:sz w:val="21"/>
          <w:szCs w:val="21"/>
        </w:rPr>
        <w:t xml:space="preserve"> Delivered infrastructure for FRTB (Fundamental Review of the Trading Book) (2018) and Anti-Terrorism/Money Laundering services (2018).</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Exchange Migrations:</w:t>
      </w:r>
      <w:r>
        <w:rPr>
          <w:rFonts w:ascii="Palatino Linotype" w:cs="Palatino Linotype" w:eastAsia="Palatino Linotype" w:hAnsi="Palatino Linotype"/>
          <w:b w:val="false"/>
          <w:bCs w:val="false"/>
          <w:i w:val="false"/>
          <w:iCs w:val="false"/>
          <w:color w:val="1A1A1A"/>
          <w:sz w:val="21"/>
          <w:szCs w:val="21"/>
        </w:rPr>
        <w:t xml:space="preserve"> Led the LME trading platform development and migrated commodity trades onto OpenLink.</w:t>
      </w:r>
    </w:p>
    <w:p>
      <w:pPr>
        <w:pBdr>
          <w:bottom w:val="single" w:color="222222" w:sz="6" w:space="1"/>
        </w:pBdr>
        <w:spacing w:after="80" w:before="220" w:line="276" w:lineRule="auto"/>
      </w:pPr>
      <w:r>
        <w:rPr>
          <w:rFonts w:ascii="Helvetica Neue" w:cs="Helvetica Neue" w:eastAsia="Helvetica Neue" w:hAnsi="Helvetica Neue"/>
          <w:b/>
          <w:bCs/>
          <w:i w:val="false"/>
          <w:iCs w:val="false"/>
          <w:color w:val="1A1A1A"/>
          <w:spacing w:val="28"/>
          <w:sz w:val="19"/>
          <w:szCs w:val="19"/>
        </w:rPr>
        <w:t xml:space="preserve">PREVIOUS WORK</w:t>
      </w:r>
    </w:p>
    <w:p>
      <w:pPr>
        <w:spacing w:after="80" w:before="0" w:line="331" w:lineRule="auto"/>
      </w:pPr>
      <w:r>
        <w:rPr>
          <w:rFonts w:ascii="Palatino Linotype" w:cs="Palatino Linotype" w:eastAsia="Palatino Linotype" w:hAnsi="Palatino Linotype"/>
          <w:b/>
          <w:bCs/>
          <w:i w:val="false"/>
          <w:iCs w:val="false"/>
          <w:color w:val="1A1A1A"/>
          <w:sz w:val="21"/>
          <w:szCs w:val="21"/>
        </w:rPr>
        <w:t xml:space="preserve">Infinigon Group</w:t>
      </w:r>
      <w:r>
        <w:rPr>
          <w:rFonts w:ascii="Palatino Linotype" w:cs="Palatino Linotype" w:eastAsia="Palatino Linotype" w:hAnsi="Palatino Linotype"/>
          <w:b w:val="false"/>
          <w:bCs w:val="false"/>
          <w:i w:val="false"/>
          <w:iCs w:val="false"/>
          <w:color w:val="1A1A1A"/>
          <w:sz w:val="21"/>
          <w:szCs w:val="21"/>
        </w:rPr>
        <w:t xml:space="preserve"> | Head of Development | 2012 - 2015</w:t>
      </w:r>
    </w:p>
    <w:p>
      <w:pPr>
        <w:pStyle w:val="ListParagraph"/>
        <w:numPr>
          <w:ilvl w:val="0"/>
          <w:numId w:val="2"/>
        </w:numPr>
        <w:spacing w:after="40" w:before="0" w:line="331" w:lineRule="auto"/>
      </w:pPr>
      <w:r>
        <w:rPr>
          <w:rFonts w:ascii="Palatino Linotype" w:cs="Palatino Linotype" w:eastAsia="Palatino Linotype" w:hAnsi="Palatino Linotype"/>
          <w:b w:val="false"/>
          <w:bCs w:val="false"/>
          <w:i w:val="false"/>
          <w:iCs w:val="false"/>
          <w:color w:val="1A1A1A"/>
          <w:sz w:val="21"/>
          <w:szCs w:val="21"/>
        </w:rPr>
        <w:t xml:space="preserve">Created a cross-exchange custodial cryptocurrency trading platform.</w:t>
      </w:r>
    </w:p>
    <w:p>
      <w:pPr>
        <w:pStyle w:val="ListParagraph"/>
        <w:numPr>
          <w:ilvl w:val="0"/>
          <w:numId w:val="2"/>
        </w:numPr>
        <w:spacing w:after="40" w:before="0" w:line="331" w:lineRule="auto"/>
      </w:pPr>
      <w:r>
        <w:rPr>
          <w:rFonts w:ascii="Palatino Linotype" w:cs="Palatino Linotype" w:eastAsia="Palatino Linotype" w:hAnsi="Palatino Linotype"/>
          <w:b w:val="false"/>
          <w:bCs w:val="false"/>
          <w:i w:val="false"/>
          <w:iCs w:val="false"/>
          <w:color w:val="1A1A1A"/>
          <w:sz w:val="21"/>
          <w:szCs w:val="21"/>
        </w:rPr>
        <w:t xml:space="preserve">Built a machine learning analytics platform utilizing real-time data and social media sentiment.</w:t>
      </w:r>
    </w:p>
    <w:p>
      <w:pPr>
        <w:spacing w:after="80" w:before="0" w:line="331" w:lineRule="auto"/>
      </w:pPr>
      <w:r>
        <w:rPr>
          <w:rFonts w:ascii="Palatino Linotype" w:cs="Palatino Linotype" w:eastAsia="Palatino Linotype" w:hAnsi="Palatino Linotype"/>
          <w:b/>
          <w:bCs/>
          <w:i w:val="false"/>
          <w:iCs w:val="false"/>
          <w:color w:val="1A1A1A"/>
          <w:sz w:val="21"/>
          <w:szCs w:val="21"/>
        </w:rPr>
        <w:t xml:space="preserve">Credit Suisse</w:t>
      </w:r>
      <w:r>
        <w:rPr>
          <w:rFonts w:ascii="Palatino Linotype" w:cs="Palatino Linotype" w:eastAsia="Palatino Linotype" w:hAnsi="Palatino Linotype"/>
          <w:b w:val="false"/>
          <w:bCs w:val="false"/>
          <w:i w:val="false"/>
          <w:iCs w:val="false"/>
          <w:color w:val="1A1A1A"/>
          <w:sz w:val="21"/>
          <w:szCs w:val="21"/>
        </w:rPr>
        <w:t xml:space="preserve"> | Contractor, Commodities | 2007 - 2010</w:t>
      </w:r>
    </w:p>
    <w:p>
      <w:pPr>
        <w:pStyle w:val="ListParagraph"/>
        <w:numPr>
          <w:ilvl w:val="0"/>
          <w:numId w:val="2"/>
        </w:numPr>
        <w:spacing w:after="40" w:before="0" w:line="331" w:lineRule="auto"/>
      </w:pPr>
      <w:r>
        <w:rPr>
          <w:rFonts w:ascii="Palatino Linotype" w:cs="Palatino Linotype" w:eastAsia="Palatino Linotype" w:hAnsi="Palatino Linotype"/>
          <w:b w:val="false"/>
          <w:bCs w:val="false"/>
          <w:i w:val="false"/>
          <w:iCs w:val="false"/>
          <w:color w:val="1A1A1A"/>
          <w:sz w:val="21"/>
          <w:szCs w:val="21"/>
        </w:rPr>
        <w:t xml:space="preserve">Architected a risk system for complex commodities trades and integrated external pricing models for OpenLink.</w:t>
      </w:r>
    </w:p>
    <w:p>
      <w:pPr>
        <w:pStyle w:val="ListParagraph"/>
        <w:numPr>
          <w:ilvl w:val="0"/>
          <w:numId w:val="2"/>
        </w:numPr>
        <w:spacing w:after="40" w:before="0" w:line="331" w:lineRule="auto"/>
      </w:pPr>
      <w:r>
        <w:rPr>
          <w:rFonts w:ascii="Palatino Linotype" w:cs="Palatino Linotype" w:eastAsia="Palatino Linotype" w:hAnsi="Palatino Linotype"/>
          <w:b w:val="false"/>
          <w:bCs w:val="false"/>
          <w:i w:val="false"/>
          <w:iCs w:val="false"/>
          <w:color w:val="1A1A1A"/>
          <w:sz w:val="21"/>
          <w:szCs w:val="21"/>
        </w:rPr>
        <w:t xml:space="preserve">Built a central trade repository and market data services for commodities.</w:t>
      </w:r>
    </w:p>
    <w:p>
      <w:pPr>
        <w:spacing w:after="80" w:before="0" w:line="331" w:lineRule="auto"/>
      </w:pPr>
      <w:r>
        <w:rPr>
          <w:rFonts w:ascii="Palatino Linotype" w:cs="Palatino Linotype" w:eastAsia="Palatino Linotype" w:hAnsi="Palatino Linotype"/>
          <w:b/>
          <w:bCs/>
          <w:i w:val="false"/>
          <w:iCs w:val="false"/>
          <w:color w:val="1A1A1A"/>
          <w:sz w:val="21"/>
          <w:szCs w:val="21"/>
        </w:rPr>
        <w:t xml:space="preserve">JPMorgan</w:t>
      </w:r>
      <w:r>
        <w:rPr>
          <w:rFonts w:ascii="Palatino Linotype" w:cs="Palatino Linotype" w:eastAsia="Palatino Linotype" w:hAnsi="Palatino Linotype"/>
          <w:b w:val="false"/>
          <w:bCs w:val="false"/>
          <w:i w:val="false"/>
          <w:iCs w:val="false"/>
          <w:color w:val="1A1A1A"/>
          <w:sz w:val="21"/>
          <w:szCs w:val="21"/>
        </w:rPr>
        <w:t xml:space="preserve"> | Contractor, Energy Trading Systems | 2007</w:t>
      </w:r>
    </w:p>
    <w:p>
      <w:pPr>
        <w:pStyle w:val="ListParagraph"/>
        <w:numPr>
          <w:ilvl w:val="0"/>
          <w:numId w:val="2"/>
        </w:numPr>
        <w:spacing w:after="40" w:before="0" w:line="331" w:lineRule="auto"/>
      </w:pPr>
      <w:r>
        <w:rPr>
          <w:rFonts w:ascii="Palatino Linotype" w:cs="Palatino Linotype" w:eastAsia="Palatino Linotype" w:hAnsi="Palatino Linotype"/>
          <w:b w:val="false"/>
          <w:bCs w:val="false"/>
          <w:i w:val="false"/>
          <w:iCs w:val="false"/>
          <w:color w:val="1A1A1A"/>
          <w:sz w:val="21"/>
          <w:szCs w:val="21"/>
        </w:rPr>
        <w:t xml:space="preserve">Contributed to the Athena platform, developing a code profiler and native FIX engine.</w:t>
      </w:r>
    </w:p>
    <w:p>
      <w:pPr>
        <w:pStyle w:val="ListParagraph"/>
        <w:numPr>
          <w:ilvl w:val="0"/>
          <w:numId w:val="2"/>
        </w:numPr>
        <w:spacing w:after="40" w:before="0" w:line="331" w:lineRule="auto"/>
      </w:pPr>
      <w:r>
        <w:rPr>
          <w:rFonts w:ascii="Palatino Linotype" w:cs="Palatino Linotype" w:eastAsia="Palatino Linotype" w:hAnsi="Palatino Linotype"/>
          <w:b w:val="false"/>
          <w:bCs w:val="false"/>
          <w:i w:val="false"/>
          <w:iCs w:val="false"/>
          <w:color w:val="1A1A1A"/>
          <w:sz w:val="21"/>
          <w:szCs w:val="21"/>
        </w:rPr>
        <w:t xml:space="preserve">Developed a standardized trade feed framework and implemented gateways for CME and ICE to streamline energy trading operations.</w:t>
      </w:r>
    </w:p>
    <w:p>
      <w:pPr>
        <w:pStyle w:val="ListParagraph"/>
        <w:numPr>
          <w:ilvl w:val="0"/>
          <w:numId w:val="2"/>
        </w:numPr>
        <w:spacing w:after="40" w:before="0" w:line="331" w:lineRule="auto"/>
      </w:pPr>
      <w:r>
        <w:rPr>
          <w:rFonts w:ascii="Palatino Linotype" w:cs="Palatino Linotype" w:eastAsia="Palatino Linotype" w:hAnsi="Palatino Linotype"/>
          <w:b w:val="false"/>
          <w:bCs w:val="false"/>
          <w:i w:val="false"/>
          <w:iCs w:val="false"/>
          <w:color w:val="1A1A1A"/>
          <w:sz w:val="21"/>
          <w:szCs w:val="21"/>
        </w:rPr>
        <w:t xml:space="preserve">Optimized network and computation performance for the counterparty risk system (Gauss).</w:t>
      </w:r>
    </w:p>
    <w:p>
      <w:pPr>
        <w:spacing w:after="80" w:before="0" w:line="331" w:lineRule="auto"/>
      </w:pPr>
      <w:r>
        <w:rPr>
          <w:rFonts w:ascii="Palatino Linotype" w:cs="Palatino Linotype" w:eastAsia="Palatino Linotype" w:hAnsi="Palatino Linotype"/>
          <w:b/>
          <w:bCs/>
          <w:i w:val="false"/>
          <w:iCs w:val="false"/>
          <w:color w:val="1A1A1A"/>
          <w:sz w:val="21"/>
          <w:szCs w:val="21"/>
        </w:rPr>
        <w:t xml:space="preserve">Zingy</w:t>
      </w:r>
      <w:r>
        <w:rPr>
          <w:rFonts w:ascii="Palatino Linotype" w:cs="Palatino Linotype" w:eastAsia="Palatino Linotype" w:hAnsi="Palatino Linotype"/>
          <w:b w:val="false"/>
          <w:bCs w:val="false"/>
          <w:i w:val="false"/>
          <w:iCs w:val="false"/>
          <w:color w:val="1A1A1A"/>
          <w:sz w:val="21"/>
          <w:szCs w:val="21"/>
        </w:rPr>
        <w:t xml:space="preserve"> | Head of Mobile Development | 2006 - 2007</w:t>
      </w:r>
    </w:p>
    <w:p>
      <w:pPr>
        <w:pStyle w:val="ListParagraph"/>
        <w:numPr>
          <w:ilvl w:val="0"/>
          <w:numId w:val="2"/>
        </w:numPr>
        <w:spacing w:after="40" w:before="0" w:line="331" w:lineRule="auto"/>
      </w:pPr>
      <w:r>
        <w:rPr>
          <w:rFonts w:ascii="Palatino Linotype" w:cs="Palatino Linotype" w:eastAsia="Palatino Linotype" w:hAnsi="Palatino Linotype"/>
          <w:b w:val="false"/>
          <w:bCs w:val="false"/>
          <w:i w:val="false"/>
          <w:iCs w:val="false"/>
          <w:color w:val="1A1A1A"/>
          <w:sz w:val="21"/>
          <w:szCs w:val="21"/>
        </w:rPr>
        <w:t xml:space="preserve">Managed development and operations for 50+ mobile applications across 27 carriers and multiple platforms.</w:t>
      </w:r>
    </w:p>
    <w:p>
      <w:pPr>
        <w:pStyle w:val="ListParagraph"/>
        <w:numPr>
          <w:ilvl w:val="0"/>
          <w:numId w:val="2"/>
        </w:numPr>
        <w:spacing w:after="40" w:before="0" w:line="331" w:lineRule="auto"/>
      </w:pPr>
      <w:r>
        <w:rPr>
          <w:rFonts w:ascii="Palatino Linotype" w:cs="Palatino Linotype" w:eastAsia="Palatino Linotype" w:hAnsi="Palatino Linotype"/>
          <w:b w:val="false"/>
          <w:bCs w:val="false"/>
          <w:i w:val="false"/>
          <w:iCs w:val="false"/>
          <w:color w:val="1A1A1A"/>
          <w:sz w:val="21"/>
          <w:szCs w:val="21"/>
        </w:rPr>
        <w:t xml:space="preserve">Led the development of innovative mobile products, including the top-selling MapQuest mobile application.</w:t>
      </w:r>
    </w:p>
    <w:p>
      <w:pPr>
        <w:spacing w:after="80" w:before="0" w:line="331" w:lineRule="auto"/>
      </w:pPr>
      <w:r>
        <w:rPr>
          <w:rFonts w:ascii="Palatino Linotype" w:cs="Palatino Linotype" w:eastAsia="Palatino Linotype" w:hAnsi="Palatino Linotype"/>
          <w:b/>
          <w:bCs/>
          <w:i w:val="false"/>
          <w:iCs w:val="false"/>
          <w:color w:val="1A1A1A"/>
          <w:sz w:val="21"/>
          <w:szCs w:val="21"/>
        </w:rPr>
        <w:t xml:space="preserve">ICAP</w:t>
      </w:r>
      <w:r>
        <w:rPr>
          <w:rFonts w:ascii="Palatino Linotype" w:cs="Palatino Linotype" w:eastAsia="Palatino Linotype" w:hAnsi="Palatino Linotype"/>
          <w:b w:val="false"/>
          <w:bCs w:val="false"/>
          <w:i w:val="false"/>
          <w:iCs w:val="false"/>
          <w:color w:val="1A1A1A"/>
          <w:sz w:val="21"/>
          <w:szCs w:val="21"/>
        </w:rPr>
        <w:t xml:space="preserve"> | Head of Front-End Development | 2004 - 2006</w:t>
      </w:r>
    </w:p>
    <w:p>
      <w:pPr>
        <w:pStyle w:val="ListParagraph"/>
        <w:numPr>
          <w:ilvl w:val="0"/>
          <w:numId w:val="2"/>
        </w:numPr>
        <w:spacing w:after="40" w:before="0" w:line="331" w:lineRule="auto"/>
      </w:pPr>
      <w:r>
        <w:rPr>
          <w:rFonts w:ascii="Palatino Linotype" w:cs="Palatino Linotype" w:eastAsia="Palatino Linotype" w:hAnsi="Palatino Linotype"/>
          <w:b w:val="false"/>
          <w:bCs w:val="false"/>
          <w:i w:val="false"/>
          <w:iCs w:val="false"/>
          <w:color w:val="1A1A1A"/>
          <w:sz w:val="21"/>
          <w:szCs w:val="21"/>
        </w:rPr>
        <w:t xml:space="preserve">Established and led the in-house development team for fixed income trading systems.</w:t>
      </w:r>
    </w:p>
    <w:p>
      <w:pPr>
        <w:pStyle w:val="ListParagraph"/>
        <w:numPr>
          <w:ilvl w:val="0"/>
          <w:numId w:val="2"/>
        </w:numPr>
        <w:spacing w:after="40" w:before="0" w:line="331" w:lineRule="auto"/>
      </w:pPr>
      <w:r>
        <w:rPr>
          <w:rFonts w:ascii="Palatino Linotype" w:cs="Palatino Linotype" w:eastAsia="Palatino Linotype" w:hAnsi="Palatino Linotype"/>
          <w:b w:val="false"/>
          <w:bCs w:val="false"/>
          <w:i w:val="false"/>
          <w:iCs w:val="false"/>
          <w:color w:val="1A1A1A"/>
          <w:sz w:val="21"/>
          <w:szCs w:val="21"/>
        </w:rPr>
        <w:t xml:space="preserve">Developed high-performance distributed trading services and mobile trading platforms.</w:t>
      </w:r>
    </w:p>
    <w:p>
      <w:pPr>
        <w:spacing w:after="80" w:before="0" w:line="331" w:lineRule="auto"/>
      </w:pPr>
      <w:r>
        <w:rPr>
          <w:rFonts w:ascii="Palatino Linotype" w:cs="Palatino Linotype" w:eastAsia="Palatino Linotype" w:hAnsi="Palatino Linotype"/>
          <w:b/>
          <w:bCs/>
          <w:i w:val="false"/>
          <w:iCs w:val="false"/>
          <w:color w:val="1A1A1A"/>
          <w:sz w:val="21"/>
          <w:szCs w:val="21"/>
        </w:rPr>
        <w:t xml:space="preserve">NYSE/SEC/SIAC</w:t>
      </w:r>
      <w:r>
        <w:rPr>
          <w:rFonts w:ascii="Palatino Linotype" w:cs="Palatino Linotype" w:eastAsia="Palatino Linotype" w:hAnsi="Palatino Linotype"/>
          <w:b w:val="false"/>
          <w:bCs w:val="false"/>
          <w:i w:val="false"/>
          <w:iCs w:val="false"/>
          <w:color w:val="1A1A1A"/>
          <w:sz w:val="21"/>
          <w:szCs w:val="21"/>
        </w:rPr>
        <w:t xml:space="preserve"> | Director, Specialist Trading Services | 1997 - 2004</w:t>
      </w:r>
    </w:p>
    <w:p>
      <w:pPr>
        <w:pStyle w:val="ListParagraph"/>
        <w:numPr>
          <w:ilvl w:val="0"/>
          <w:numId w:val="2"/>
        </w:numPr>
        <w:spacing w:after="40" w:before="0" w:line="331" w:lineRule="auto"/>
      </w:pPr>
      <w:r>
        <w:rPr>
          <w:rFonts w:ascii="Palatino Linotype" w:cs="Palatino Linotype" w:eastAsia="Palatino Linotype" w:hAnsi="Palatino Linotype"/>
          <w:b w:val="false"/>
          <w:bCs w:val="false"/>
          <w:i w:val="false"/>
          <w:iCs w:val="false"/>
          <w:color w:val="1A1A1A"/>
          <w:sz w:val="21"/>
          <w:szCs w:val="21"/>
        </w:rPr>
        <w:t xml:space="preserve">Architected and implemented market surveillance systems, stock information servers, and regulatory reporting services.</w:t>
      </w:r>
    </w:p>
    <w:p>
      <w:pPr>
        <w:pStyle w:val="ListParagraph"/>
        <w:numPr>
          <w:ilvl w:val="0"/>
          <w:numId w:val="2"/>
        </w:numPr>
        <w:spacing w:after="40" w:before="0" w:line="331" w:lineRule="auto"/>
      </w:pPr>
      <w:r>
        <w:rPr>
          <w:rFonts w:ascii="Palatino Linotype" w:cs="Palatino Linotype" w:eastAsia="Palatino Linotype" w:hAnsi="Palatino Linotype"/>
          <w:b w:val="false"/>
          <w:bCs w:val="false"/>
          <w:i w:val="false"/>
          <w:iCs w:val="false"/>
          <w:color w:val="1A1A1A"/>
          <w:sz w:val="21"/>
          <w:szCs w:val="21"/>
        </w:rPr>
        <w:t xml:space="preserve">Developed innovative Python-based trading services for specialists.</w:t>
      </w:r>
    </w:p>
    <w:p>
      <w:pPr>
        <w:spacing w:after="80" w:before="0" w:line="331" w:lineRule="auto"/>
      </w:pPr>
      <w:r>
        <w:rPr>
          <w:rFonts w:ascii="Palatino Linotype" w:cs="Palatino Linotype" w:eastAsia="Palatino Linotype" w:hAnsi="Palatino Linotype"/>
          <w:b/>
          <w:bCs/>
          <w:i w:val="false"/>
          <w:iCs w:val="false"/>
          <w:color w:val="1A1A1A"/>
          <w:sz w:val="21"/>
          <w:szCs w:val="21"/>
        </w:rPr>
        <w:t xml:space="preserve">ERICSSON</w:t>
      </w:r>
      <w:r>
        <w:rPr>
          <w:rFonts w:ascii="Palatino Linotype" w:cs="Palatino Linotype" w:eastAsia="Palatino Linotype" w:hAnsi="Palatino Linotype"/>
          <w:b w:val="false"/>
          <w:bCs w:val="false"/>
          <w:i w:val="false"/>
          <w:iCs w:val="false"/>
          <w:color w:val="1A1A1A"/>
          <w:sz w:val="21"/>
          <w:szCs w:val="21"/>
        </w:rPr>
        <w:t xml:space="preserve"> | Contractor, Telecom Switches | 1995 - 1997</w:t>
      </w:r>
    </w:p>
    <w:p>
      <w:pPr>
        <w:pStyle w:val="ListParagraph"/>
        <w:numPr>
          <w:ilvl w:val="0"/>
          <w:numId w:val="2"/>
        </w:numPr>
        <w:spacing w:after="40" w:before="0" w:line="331" w:lineRule="auto"/>
      </w:pPr>
      <w:r>
        <w:rPr>
          <w:rFonts w:ascii="Palatino Linotype" w:cs="Palatino Linotype" w:eastAsia="Palatino Linotype" w:hAnsi="Palatino Linotype"/>
          <w:b w:val="false"/>
          <w:bCs w:val="false"/>
          <w:i w:val="false"/>
          <w:iCs w:val="false"/>
          <w:color w:val="1A1A1A"/>
          <w:sz w:val="21"/>
          <w:szCs w:val="21"/>
        </w:rPr>
        <w:t xml:space="preserve">Built a remote telecom switch management system.</w:t>
      </w:r>
    </w:p>
    <w:p>
      <w:pPr>
        <w:pBdr>
          <w:bottom w:val="single" w:color="222222" w:sz="6" w:space="1"/>
        </w:pBdr>
        <w:spacing w:after="80" w:before="220" w:line="276" w:lineRule="auto"/>
      </w:pPr>
      <w:r>
        <w:rPr>
          <w:rFonts w:ascii="Helvetica Neue" w:cs="Helvetica Neue" w:eastAsia="Helvetica Neue" w:hAnsi="Helvetica Neue"/>
          <w:b/>
          <w:bCs/>
          <w:i w:val="false"/>
          <w:iCs w:val="false"/>
          <w:color w:val="1A1A1A"/>
          <w:spacing w:val="28"/>
          <w:sz w:val="19"/>
          <w:szCs w:val="19"/>
        </w:rPr>
        <w:t xml:space="preserve">BIO</w:t>
      </w:r>
    </w:p>
    <w:p>
      <w:pPr>
        <w:spacing w:after="80" w:before="0" w:line="331" w:lineRule="auto"/>
      </w:pPr>
      <w:r>
        <w:rPr>
          <w:rFonts w:ascii="Palatino Linotype" w:cs="Palatino Linotype" w:eastAsia="Palatino Linotype" w:hAnsi="Palatino Linotype"/>
          <w:b w:val="false"/>
          <w:bCs w:val="false"/>
          <w:i w:val="false"/>
          <w:iCs w:val="false"/>
          <w:color w:val="1A1A1A"/>
          <w:sz w:val="21"/>
          <w:szCs w:val="21"/>
        </w:rPr>
        <w:t xml:space="preserve">I came to Computer Science by accident. At eighteen, I had no interest in computers; my heart was set on being a hydrologist to solve water problems in developing countries. My technical interests were analog -- trading and repairing vintage valve amplifiers. That changed during a summer job at the Electric Coin Company, a slot machine vendor. I expected to wield a soldering iron but found myself coding 6801 controllers. By the end of the summer, I was addicted to programming. I switched tracks, graduating from North London Polytechnic with a degree in Maths &amp; Computer Science.</w:t>
      </w:r>
    </w:p>
    <w:p>
      <w:pPr>
        <w:spacing w:after="80" w:before="0" w:line="331" w:lineRule="auto"/>
      </w:pPr>
      <w:r>
        <w:rPr>
          <w:rFonts w:ascii="Palatino Linotype" w:cs="Palatino Linotype" w:eastAsia="Palatino Linotype" w:hAnsi="Palatino Linotype"/>
          <w:b w:val="false"/>
          <w:bCs w:val="false"/>
          <w:i w:val="false"/>
          <w:iCs w:val="false"/>
          <w:color w:val="1A1A1A"/>
          <w:sz w:val="21"/>
          <w:szCs w:val="21"/>
        </w:rPr>
        <w:t xml:space="preserve">My early career was defined by eclectic, high-intensity technical challenges. I worked with Richard Forsyth on </w:t>
      </w:r>
      <w:r>
        <w:rPr>
          <w:rFonts w:ascii="Palatino Linotype" w:cs="Palatino Linotype" w:eastAsia="Palatino Linotype" w:hAnsi="Palatino Linotype"/>
          <w:b w:val="false"/>
          <w:bCs w:val="false"/>
          <w:i/>
          <w:iCs/>
          <w:color w:val="1A1A1A"/>
          <w:sz w:val="21"/>
          <w:szCs w:val="21"/>
        </w:rPr>
        <w:t xml:space="preserve">Darwin</w:t>
      </w:r>
      <w:r>
        <w:rPr>
          <w:rFonts w:ascii="Palatino Linotype" w:cs="Palatino Linotype" w:eastAsia="Palatino Linotype" w:hAnsi="Palatino Linotype"/>
          <w:b w:val="false"/>
          <w:bCs w:val="false"/>
          <w:i w:val="false"/>
          <w:iCs w:val="false"/>
          <w:color w:val="1A1A1A"/>
          <w:sz w:val="21"/>
          <w:szCs w:val="21"/>
        </w:rPr>
        <w:t xml:space="preserve">, one of the earliest Machine Learning frameworks, which we used to unsuccessfully predict horse races. I worked in Atari's PC games division, built RIP engines for printers, and developed a real-time OS for Ferranti's Lynx helicopter program. My freelance work spanned industries: fuzzy logic control systems for Unilever, video routing for the BBC, and neural networks on Transputers for the UK Treasury.</w:t>
      </w:r>
    </w:p>
    <w:p>
      <w:pPr>
        <w:spacing w:after="80" w:before="0" w:line="331" w:lineRule="auto"/>
      </w:pPr>
      <w:r>
        <w:rPr>
          <w:rFonts w:ascii="Palatino Linotype" w:cs="Palatino Linotype" w:eastAsia="Palatino Linotype" w:hAnsi="Palatino Linotype"/>
          <w:b w:val="false"/>
          <w:bCs w:val="false"/>
          <w:i w:val="false"/>
          <w:iCs w:val="false"/>
          <w:color w:val="1A1A1A"/>
          <w:sz w:val="21"/>
          <w:szCs w:val="21"/>
        </w:rPr>
        <w:t xml:space="preserve">In 1993, while working at Apple on the Newton program, I discovered the internet and built a WAIS-based patient record system for the UK National Health Service. A pivotal moment came in 1995 when I was commissioned to build the first internet casino for Caesars. My initial C++ codebase was tight but unwieldy at over 40,000 lines, and I struggled to complete it. On a whim, I bought Mark Lutz's Python book and rewrote the entire system over a weekend. The result was a superior, 4,000-line solution. That project made me a lifelong Python evangelist and led to the creation of an early cyber currency, WebCheck.</w:t>
      </w:r>
    </w:p>
    <w:p>
      <w:pPr>
        <w:spacing w:after="80" w:before="0" w:line="331" w:lineRule="auto"/>
      </w:pPr>
      <w:r>
        <w:rPr>
          <w:rFonts w:ascii="Palatino Linotype" w:cs="Palatino Linotype" w:eastAsia="Palatino Linotype" w:hAnsi="Palatino Linotype"/>
          <w:b w:val="false"/>
          <w:bCs w:val="false"/>
          <w:i w:val="false"/>
          <w:iCs w:val="false"/>
          <w:color w:val="1A1A1A"/>
          <w:sz w:val="21"/>
          <w:szCs w:val="21"/>
        </w:rPr>
        <w:t xml:space="preserve">After stints in Europe -- advising the European Parliament, building Erlang systems for Ericsson, and being poached by IBM Research in Zurich to code a mobile JVM -- I returned to my hometown, New York, in 1997. I architected the NYSE's first internet-based system, which was likely the first financial production system written in Python. Since then, my focus has been on high-frequency trading, fixed income platforms, and risk systems for major institutions like ICAP, JP Morgan, Credit Suisse, and RBC Capital Markets. Between these corporate mandates, I continue to explore the bleeding edge through running a startup style group within the bank.</w:t>
      </w:r>
    </w:p>
    <w:p>
      <w:pPr>
        <w:pBdr>
          <w:bottom w:val="single" w:color="222222" w:sz="6" w:space="1"/>
        </w:pBdr>
        <w:spacing w:after="80" w:before="220" w:line="276" w:lineRule="auto"/>
      </w:pPr>
      <w:r>
        <w:rPr>
          <w:rFonts w:ascii="Helvetica Neue" w:cs="Helvetica Neue" w:eastAsia="Helvetica Neue" w:hAnsi="Helvetica Neue"/>
          <w:b/>
          <w:bCs/>
          <w:i w:val="false"/>
          <w:iCs w:val="false"/>
          <w:color w:val="1A1A1A"/>
          <w:spacing w:val="28"/>
          <w:sz w:val="19"/>
          <w:szCs w:val="19"/>
        </w:rPr>
        <w:t xml:space="preserve">SOME KEY ACHIEVEMENTS &amp; INDUSTRY FIRSTS</w:t>
      </w:r>
    </w:p>
    <w:tbl>
      <w:tblPr>
        <w:tblW w:type="dxa" w:w="10368"/>
        <w:tblBorders>
          <w:top w:val="single" w:color="auto" w:sz="4"/>
          <w:left w:val="single" w:color="auto" w:sz="4"/>
          <w:bottom w:val="single" w:color="auto" w:sz="4"/>
          <w:right w:val="single" w:color="auto" w:sz="4"/>
          <w:insideH w:val="single" w:color="auto" w:sz="4"/>
          <w:insideV w:val="single" w:color="auto" w:sz="4"/>
        </w:tblBorders>
      </w:tblPr>
      <w:tblGrid>
        <w:gridCol w:w="3900"/>
        <w:gridCol w:w="6468"/>
      </w:tblGrid>
      <w:tr>
        <w:trPr>
          <w:cantSplit/>
          <w:tblHeader/>
        </w:trPr>
        <w:tc>
          <w:tcPr>
            <w:tcW w:type="dxa" w:w="3900"/>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Helvetica Neue" w:cs="Helvetica Neue" w:eastAsia="Helvetica Neue" w:hAnsi="Helvetica Neue"/>
                <w:b/>
                <w:bCs/>
                <w:i w:val="false"/>
                <w:iCs w:val="false"/>
                <w:color w:val="1A1A1A"/>
                <w:sz w:val="17"/>
                <w:szCs w:val="17"/>
              </w:rPr>
              <w:t xml:space="preserve">Achievement</w:t>
            </w:r>
          </w:p>
        </w:tc>
        <w:tc>
          <w:tcPr>
            <w:tcW w:type="dxa" w:w="6468"/>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Helvetica Neue" w:cs="Helvetica Neue" w:eastAsia="Helvetica Neue" w:hAnsi="Helvetica Neue"/>
                <w:b/>
                <w:bCs/>
                <w:i w:val="false"/>
                <w:iCs w:val="false"/>
                <w:color w:val="1A1A1A"/>
                <w:sz w:val="17"/>
                <w:szCs w:val="17"/>
              </w:rPr>
              <w:t xml:space="preserve">Description</w:t>
            </w:r>
          </w:p>
        </w:tc>
      </w:tr>
      <w:tr>
        <w:trPr>
          <w:cantSplit/>
          <w:tblHeader w:val="off"/>
        </w:trPr>
        <w:tc>
          <w:tcPr>
            <w:tcW w:type="dxa" w:w="3900"/>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Europe's 1st Missing Children's Registry</w:t>
            </w:r>
          </w:p>
        </w:tc>
        <w:tc>
          <w:tcPr>
            <w:tcW w:type="dxa" w:w="6468"/>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Built a central online database of missing children and was awarded a citation from the European Parliament.</w:t>
            </w:r>
          </w:p>
        </w:tc>
      </w:tr>
      <w:tr>
        <w:trPr>
          <w:cantSplit/>
          <w:tblHeader w:val="off"/>
        </w:trPr>
        <w:tc>
          <w:tcPr>
            <w:tcW w:type="dxa" w:w="3900"/>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European Parliament workflow service</w:t>
            </w:r>
          </w:p>
        </w:tc>
        <w:tc>
          <w:tcPr>
            <w:tcW w:type="dxa" w:w="6468"/>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Handles the complete workflow of all artifacts in the European Parliament</w:t>
            </w:r>
          </w:p>
        </w:tc>
      </w:tr>
      <w:tr>
        <w:trPr>
          <w:cantSplit/>
          <w:tblHeader w:val="off"/>
        </w:trPr>
        <w:tc>
          <w:tcPr>
            <w:tcW w:type="dxa" w:w="3900"/>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Top earning US mobile apps</w:t>
            </w:r>
          </w:p>
        </w:tc>
        <w:tc>
          <w:tcPr>
            <w:tcW w:type="dxa" w:w="6468"/>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including MapQuest, eBay, NBC Weather, New York Times</w:t>
            </w:r>
          </w:p>
        </w:tc>
      </w:tr>
      <w:tr>
        <w:trPr>
          <w:cantSplit/>
          <w:tblHeader w:val="off"/>
        </w:trPr>
        <w:tc>
          <w:tcPr>
            <w:tcW w:type="dxa" w:w="3900"/>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Phonescript</w:t>
            </w:r>
          </w:p>
        </w:tc>
        <w:tc>
          <w:tcPr>
            <w:tcW w:type="dxa" w:w="6468"/>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1st phone programming language</w:t>
            </w:r>
          </w:p>
        </w:tc>
      </w:tr>
      <w:tr>
        <w:trPr>
          <w:cantSplit/>
          <w:tblHeader w:val="off"/>
        </w:trPr>
        <w:tc>
          <w:tcPr>
            <w:tcW w:type="dxa" w:w="3900"/>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1st Python trading service</w:t>
            </w:r>
          </w:p>
        </w:tc>
        <w:tc>
          <w:tcPr>
            <w:tcW w:type="dxa" w:w="6468"/>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Built for SIAC/NYSE</w:t>
            </w:r>
          </w:p>
        </w:tc>
      </w:tr>
      <w:tr>
        <w:trPr>
          <w:cantSplit/>
          <w:tblHeader w:val="off"/>
        </w:trPr>
        <w:tc>
          <w:tcPr>
            <w:tcW w:type="dxa" w:w="3900"/>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ICAP's fixed income trading platform</w:t>
            </w:r>
          </w:p>
        </w:tc>
        <w:tc>
          <w:tcPr>
            <w:tcW w:type="dxa" w:w="6468"/>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Still used by most banks for fixed income trading.</w:t>
            </w:r>
          </w:p>
        </w:tc>
      </w:tr>
      <w:tr>
        <w:trPr>
          <w:cantSplit/>
          <w:tblHeader w:val="off"/>
        </w:trPr>
        <w:tc>
          <w:tcPr>
            <w:tcW w:type="dxa" w:w="3900"/>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1st C++ debugger &amp; Numeric library</w:t>
            </w:r>
          </w:p>
        </w:tc>
        <w:tc>
          <w:tcPr>
            <w:tcW w:type="dxa" w:w="6468"/>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Coded standard libraries for Walter Bright's C++ distribution</w:t>
            </w:r>
          </w:p>
        </w:tc>
      </w:tr>
      <w:tr>
        <w:trPr>
          <w:cantSplit/>
          <w:tblHeader w:val="off"/>
        </w:trPr>
        <w:tc>
          <w:tcPr>
            <w:tcW w:type="dxa" w:w="3900"/>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1st Internet Casino</w:t>
            </w:r>
          </w:p>
        </w:tc>
        <w:tc>
          <w:tcPr>
            <w:tcW w:type="dxa" w:w="6468"/>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Caesars Casino</w:t>
            </w:r>
          </w:p>
        </w:tc>
      </w:tr>
      <w:tr>
        <w:trPr>
          <w:cantSplit/>
          <w:tblHeader w:val="off"/>
        </w:trPr>
        <w:tc>
          <w:tcPr>
            <w:tcW w:type="dxa" w:w="3900"/>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1st Web framework for Python (PSO)</w:t>
            </w:r>
          </w:p>
        </w:tc>
        <w:tc>
          <w:tcPr>
            <w:tcW w:type="dxa" w:w="6468"/>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Included in Debian Linux and used by European Parliament, NASA, SIAC, JP Morgan</w:t>
            </w:r>
          </w:p>
        </w:tc>
      </w:tr>
      <w:tr>
        <w:trPr>
          <w:cantSplit/>
          <w:tblHeader w:val="off"/>
        </w:trPr>
        <w:tc>
          <w:tcPr>
            <w:tcW w:type="dxa" w:w="3900"/>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Byteeasy</w:t>
            </w:r>
          </w:p>
        </w:tc>
        <w:tc>
          <w:tcPr>
            <w:tcW w:type="dxa" w:w="6468"/>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Anonymous crypto exchange</w:t>
            </w:r>
          </w:p>
        </w:tc>
      </w:tr>
      <w:tr>
        <w:trPr>
          <w:cantSplit/>
          <w:tblHeader w:val="off"/>
        </w:trPr>
        <w:tc>
          <w:tcPr>
            <w:tcW w:type="dxa" w:w="3900"/>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BTC Terminal</w:t>
            </w:r>
          </w:p>
        </w:tc>
        <w:tc>
          <w:tcPr>
            <w:tcW w:type="dxa" w:w="6468"/>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Cross-exchange custodial crypto trading platform</w:t>
            </w:r>
          </w:p>
        </w:tc>
      </w:tr>
      <w:tr>
        <w:trPr>
          <w:cantSplit/>
          <w:tblHeader w:val="off"/>
        </w:trPr>
        <w:tc>
          <w:tcPr>
            <w:tcW w:type="dxa" w:w="3900"/>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JVM for Mobile</w:t>
            </w:r>
          </w:p>
        </w:tc>
        <w:tc>
          <w:tcPr>
            <w:tcW w:type="dxa" w:w="6468"/>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Coded the mobile phone version of the JVM for IBM</w:t>
            </w:r>
          </w:p>
        </w:tc>
      </w:tr>
      <w:tr>
        <w:trPr>
          <w:cantSplit/>
          <w:tblHeader w:val="off"/>
        </w:trPr>
        <w:tc>
          <w:tcPr>
            <w:tcW w:type="dxa" w:w="3900"/>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Author of Nimalana</w:t>
            </w:r>
          </w:p>
        </w:tc>
        <w:tc>
          <w:tcPr>
            <w:tcW w:type="dxa" w:w="6468"/>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Nim based Solana validator</w:t>
            </w:r>
          </w:p>
        </w:tc>
      </w:tr>
      <w:tr>
        <w:trPr>
          <w:cantSplit/>
          <w:tblHeader w:val="off"/>
        </w:trPr>
        <w:tc>
          <w:tcPr>
            <w:tcW w:type="dxa" w:w="3900"/>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Developer of Aegis</w:t>
            </w:r>
          </w:p>
        </w:tc>
        <w:tc>
          <w:tcPr>
            <w:tcW w:type="dxa" w:w="6468"/>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A Zig based high-performance Bittensor miner specifically engineered to exploit Apple Silicon</w:t>
            </w:r>
          </w:p>
        </w:tc>
      </w:tr>
    </w:tbl>
    <w:p>
      <w:pPr>
        <w:spacing w:after="40"/>
      </w:pPr>
    </w:p>
    <w:p>
      <w:pPr>
        <w:pBdr>
          <w:bottom w:val="single" w:color="222222" w:sz="6" w:space="1"/>
        </w:pBdr>
        <w:spacing w:after="80" w:before="220" w:line="276" w:lineRule="auto"/>
      </w:pPr>
      <w:r>
        <w:rPr>
          <w:rFonts w:ascii="Helvetica Neue" w:cs="Helvetica Neue" w:eastAsia="Helvetica Neue" w:hAnsi="Helvetica Neue"/>
          <w:b/>
          <w:bCs/>
          <w:i w:val="false"/>
          <w:iCs w:val="false"/>
          <w:color w:val="1A1A1A"/>
          <w:spacing w:val="28"/>
          <w:sz w:val="19"/>
          <w:szCs w:val="19"/>
        </w:rPr>
        <w:t xml:space="preserve">DOMAINS &amp; COMPANIES</w:t>
      </w:r>
    </w:p>
    <w:tbl>
      <w:tblPr>
        <w:tblW w:type="dxa" w:w="10368"/>
        <w:tblBorders>
          <w:top w:val="single" w:color="auto" w:sz="4"/>
          <w:left w:val="single" w:color="auto" w:sz="4"/>
          <w:bottom w:val="single" w:color="auto" w:sz="4"/>
          <w:right w:val="single" w:color="auto" w:sz="4"/>
          <w:insideH w:val="single" w:color="auto" w:sz="4"/>
          <w:insideV w:val="single" w:color="auto" w:sz="4"/>
        </w:tblBorders>
      </w:tblPr>
      <w:tblGrid>
        <w:gridCol w:w="3200"/>
        <w:gridCol w:w="7168"/>
      </w:tblGrid>
      <w:tr>
        <w:trPr>
          <w:cantSplit/>
          <w:tblHeader/>
        </w:trPr>
        <w:tc>
          <w:tcPr>
            <w:tcW w:type="dxa" w:w="3200"/>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Helvetica Neue" w:cs="Helvetica Neue" w:eastAsia="Helvetica Neue" w:hAnsi="Helvetica Neue"/>
                <w:b/>
                <w:bCs/>
                <w:i w:val="false"/>
                <w:iCs w:val="false"/>
                <w:color w:val="1A1A1A"/>
                <w:sz w:val="17"/>
                <w:szCs w:val="17"/>
              </w:rPr>
              <w:t xml:space="preserve">Domain</w:t>
            </w:r>
          </w:p>
        </w:tc>
        <w:tc>
          <w:tcPr>
            <w:tcW w:type="dxa" w:w="7168"/>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Helvetica Neue" w:cs="Helvetica Neue" w:eastAsia="Helvetica Neue" w:hAnsi="Helvetica Neue"/>
                <w:b/>
                <w:bCs/>
                <w:i w:val="false"/>
                <w:iCs w:val="false"/>
                <w:color w:val="1A1A1A"/>
                <w:sz w:val="17"/>
                <w:szCs w:val="17"/>
              </w:rPr>
              <w:t xml:space="preserve">Companies</w:t>
            </w:r>
          </w:p>
        </w:tc>
      </w:tr>
      <w:tr>
        <w:trPr>
          <w:cantSplit/>
          <w:tblHeader w:val="off"/>
        </w:trPr>
        <w:tc>
          <w:tcPr>
            <w:tcW w:type="dxa" w:w="3200"/>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Trading &amp; Risk</w:t>
            </w:r>
          </w:p>
        </w:tc>
        <w:tc>
          <w:tcPr>
            <w:tcW w:type="dxa" w:w="7168"/>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Infinigon Group, RBC CM</w:t>
            </w:r>
          </w:p>
        </w:tc>
      </w:tr>
      <w:tr>
        <w:trPr>
          <w:cantSplit/>
          <w:tblHeader w:val="off"/>
        </w:trPr>
        <w:tc>
          <w:tcPr>
            <w:tcW w:type="dxa" w:w="3200"/>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Blockchain &amp; Crypto</w:t>
            </w:r>
          </w:p>
        </w:tc>
        <w:tc>
          <w:tcPr>
            <w:tcW w:type="dxa" w:w="7168"/>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RBC CM, Infinigon Group, Solana, Marita Bank, Caesars Casino, Electric Coin Co.</w:t>
            </w:r>
          </w:p>
        </w:tc>
      </w:tr>
      <w:tr>
        <w:trPr>
          <w:cantSplit/>
          <w:tblHeader w:val="off"/>
        </w:trPr>
        <w:tc>
          <w:tcPr>
            <w:tcW w:type="dxa" w:w="3200"/>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Machine Learning &amp; Big Data</w:t>
            </w:r>
          </w:p>
        </w:tc>
        <w:tc>
          <w:tcPr>
            <w:tcW w:type="dxa" w:w="7168"/>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RBC CM, Infinigon Group, Caesars Casino, Ericsson</w:t>
            </w:r>
          </w:p>
        </w:tc>
      </w:tr>
      <w:tr>
        <w:trPr>
          <w:cantSplit/>
          <w:tblHeader w:val="off"/>
        </w:trPr>
        <w:tc>
          <w:tcPr>
            <w:tcW w:type="dxa" w:w="3200"/>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Mobile Development</w:t>
            </w:r>
          </w:p>
        </w:tc>
        <w:tc>
          <w:tcPr>
            <w:tcW w:type="dxa" w:w="7168"/>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Apple, RBC CM, IBM, ICAP, Ericsson, Zingy</w:t>
            </w:r>
          </w:p>
        </w:tc>
      </w:tr>
      <w:tr>
        <w:trPr>
          <w:cantSplit/>
          <w:tblHeader w:val="off"/>
        </w:trPr>
        <w:tc>
          <w:tcPr>
            <w:tcW w:type="dxa" w:w="3200"/>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Gaming &amp; Robotics</w:t>
            </w:r>
          </w:p>
        </w:tc>
        <w:tc>
          <w:tcPr>
            <w:tcW w:type="dxa" w:w="7168"/>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Atari, Zingy, Caesars Casino, Unilever</w:t>
            </w:r>
          </w:p>
        </w:tc>
      </w:tr>
      <w:tr>
        <w:trPr>
          <w:cantSplit/>
          <w:tblHeader w:val="off"/>
        </w:trPr>
        <w:tc>
          <w:tcPr>
            <w:tcW w:type="dxa" w:w="3200"/>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High Performance Computing</w:t>
            </w:r>
          </w:p>
        </w:tc>
        <w:tc>
          <w:tcPr>
            <w:tcW w:type="dxa" w:w="7168"/>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JP Morgan, NYSE, SIAC, HP</w:t>
            </w:r>
          </w:p>
        </w:tc>
      </w:tr>
      <w:tr>
        <w:trPr>
          <w:cantSplit/>
          <w:tblHeader w:val="off"/>
        </w:trPr>
        <w:tc>
          <w:tcPr>
            <w:tcW w:type="dxa" w:w="3200"/>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Telecommunications</w:t>
            </w:r>
          </w:p>
        </w:tc>
        <w:tc>
          <w:tcPr>
            <w:tcW w:type="dxa" w:w="7168"/>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British Telecom, Ericsson, HP, Honeywell Bull, Multitone, Reuters</w:t>
            </w:r>
          </w:p>
        </w:tc>
      </w:tr>
      <w:tr>
        <w:trPr>
          <w:cantSplit/>
          <w:tblHeader w:val="off"/>
        </w:trPr>
        <w:tc>
          <w:tcPr>
            <w:tcW w:type="dxa" w:w="3200"/>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Cloud &amp; Distributed Systems</w:t>
            </w:r>
          </w:p>
        </w:tc>
        <w:tc>
          <w:tcPr>
            <w:tcW w:type="dxa" w:w="7168"/>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RBC CM, Infinigon Group, Ericsson</w:t>
            </w:r>
          </w:p>
        </w:tc>
      </w:tr>
      <w:tr>
        <w:trPr>
          <w:cantSplit/>
          <w:tblHeader w:val="off"/>
        </w:trPr>
        <w:tc>
          <w:tcPr>
            <w:tcW w:type="dxa" w:w="3200"/>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Medical &amp; Public Sector</w:t>
            </w:r>
          </w:p>
        </w:tc>
        <w:tc>
          <w:tcPr>
            <w:tcW w:type="dxa" w:w="7168"/>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British National Health, European Parliament, European Community, AAH Meditel</w:t>
            </w:r>
          </w:p>
        </w:tc>
      </w:tr>
      <w:tr>
        <w:trPr>
          <w:cantSplit/>
          <w:tblHeader w:val="off"/>
        </w:trPr>
        <w:tc>
          <w:tcPr>
            <w:tcW w:type="dxa" w:w="3200"/>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Military</w:t>
            </w:r>
          </w:p>
        </w:tc>
        <w:tc>
          <w:tcPr>
            <w:tcW w:type="dxa" w:w="7168"/>
            <w:tcBorders>
              <w:top w:val="none" w:color="FFFFFF" w:sz="0"/>
              <w:left w:val="none" w:color="FFFFFF" w:sz="0"/>
              <w:bottom w:val="single" w:color="CCCCCC" w:sz="4"/>
              <w:right w:val="none" w:color="FFFFFF" w:sz="0"/>
            </w:tcBorders>
            <w:tcMar>
              <w:top w:type="dxa" w:w="40"/>
              <w:left w:type="dxa" w:w="0"/>
              <w:bottom w:type="dxa" w:w="40"/>
              <w:right w:type="dxa" w:w="100"/>
            </w:tcMar>
            <w:vAlign w:val="top"/>
          </w:tcPr>
          <w:p>
            <w:pPr>
              <w:spacing w:after="0" w:before="0" w:line="276" w:lineRule="auto"/>
            </w:pPr>
            <w:r>
              <w:rPr>
                <w:rFonts w:ascii="Palatino Linotype" w:cs="Palatino Linotype" w:eastAsia="Palatino Linotype" w:hAnsi="Palatino Linotype"/>
                <w:b w:val="false"/>
                <w:bCs w:val="false"/>
                <w:i w:val="false"/>
                <w:iCs w:val="false"/>
                <w:color w:val="1A1A1A"/>
                <w:sz w:val="19"/>
                <w:szCs w:val="19"/>
              </w:rPr>
              <w:t xml:space="preserve">Ferranti</w:t>
            </w:r>
          </w:p>
        </w:tc>
      </w:tr>
    </w:tbl>
    <w:p>
      <w:pPr>
        <w:spacing w:after="40"/>
      </w:pPr>
    </w:p>
    <w:p>
      <w:pPr>
        <w:pBdr>
          <w:bottom w:val="single" w:color="222222" w:sz="6" w:space="1"/>
        </w:pBdr>
        <w:spacing w:after="80" w:before="220" w:line="276" w:lineRule="auto"/>
      </w:pPr>
      <w:r>
        <w:rPr>
          <w:rFonts w:ascii="Helvetica Neue" w:cs="Helvetica Neue" w:eastAsia="Helvetica Neue" w:hAnsi="Helvetica Neue"/>
          <w:b/>
          <w:bCs/>
          <w:i w:val="false"/>
          <w:iCs w:val="false"/>
          <w:color w:val="1A1A1A"/>
          <w:spacing w:val="28"/>
          <w:sz w:val="19"/>
          <w:szCs w:val="19"/>
        </w:rPr>
        <w:t xml:space="preserve">STACK OF PAST WORK</w:t>
      </w:r>
    </w:p>
    <w:p>
      <w:pPr>
        <w:spacing w:after="80" w:before="0" w:line="331" w:lineRule="auto"/>
      </w:pPr>
      <w:r>
        <w:rPr>
          <w:rFonts w:ascii="Palatino Linotype" w:cs="Palatino Linotype" w:eastAsia="Palatino Linotype" w:hAnsi="Palatino Linotype"/>
          <w:b w:val="false"/>
          <w:bCs w:val="false"/>
          <w:i w:val="false"/>
          <w:iCs w:val="false"/>
          <w:color w:val="1A1A1A"/>
          <w:sz w:val="21"/>
          <w:szCs w:val="21"/>
        </w:rPr>
        <w:t xml:space="preserve">RBC CM, Infinigon Group, RBC CM, JP Morgan, Credit Suisse, JP Morgan, Zingy, ICAP, SIAC/NYSE, Ericsson/HP, West LB, European Community, Caesars Casino, European Parliament, AAH Medical, Apple, Symantec (Zortech), Reuters International, Honeywell Bull, Drake, British Telecom, Ferranti, Barclays, Multitone, Atari, Unilever, Atari, Electric Coin Company.</w:t>
      </w:r>
    </w:p>
    <w:p>
      <w:pPr>
        <w:pBdr>
          <w:bottom w:val="single" w:color="222222" w:sz="6" w:space="1"/>
        </w:pBdr>
        <w:spacing w:after="80" w:before="220" w:line="276" w:lineRule="auto"/>
      </w:pPr>
      <w:r>
        <w:rPr>
          <w:rFonts w:ascii="Helvetica Neue" w:cs="Helvetica Neue" w:eastAsia="Helvetica Neue" w:hAnsi="Helvetica Neue"/>
          <w:b/>
          <w:bCs/>
          <w:i w:val="false"/>
          <w:iCs w:val="false"/>
          <w:color w:val="1A1A1A"/>
          <w:spacing w:val="28"/>
          <w:sz w:val="19"/>
          <w:szCs w:val="19"/>
        </w:rPr>
        <w:t xml:space="preserve">LANGUAGES</w:t>
      </w:r>
    </w:p>
    <w:p>
      <w:pPr>
        <w:spacing w:after="80" w:before="0" w:line="331" w:lineRule="auto"/>
      </w:pPr>
      <w:r>
        <w:rPr>
          <w:rFonts w:ascii="Palatino Linotype" w:cs="Palatino Linotype" w:eastAsia="Palatino Linotype" w:hAnsi="Palatino Linotype"/>
          <w:b w:val="false"/>
          <w:bCs w:val="false"/>
          <w:i w:val="false"/>
          <w:iCs w:val="false"/>
          <w:color w:val="1A1A1A"/>
          <w:sz w:val="21"/>
          <w:szCs w:val="21"/>
        </w:rPr>
        <w:t xml:space="preserve">C, C++, Erlang, Elixir, Fortran, Go, Java, JavaScript, Python, Solidity, Zig, some Rust, COBOL.</w:t>
      </w:r>
    </w:p>
    <w:p>
      <w:pPr>
        <w:pBdr>
          <w:bottom w:val="single" w:color="222222" w:sz="6" w:space="1"/>
        </w:pBdr>
        <w:spacing w:after="80" w:before="220" w:line="276" w:lineRule="auto"/>
      </w:pPr>
      <w:r>
        <w:rPr>
          <w:rFonts w:ascii="Helvetica Neue" w:cs="Helvetica Neue" w:eastAsia="Helvetica Neue" w:hAnsi="Helvetica Neue"/>
          <w:b/>
          <w:bCs/>
          <w:i w:val="false"/>
          <w:iCs w:val="false"/>
          <w:color w:val="1A1A1A"/>
          <w:spacing w:val="28"/>
          <w:sz w:val="19"/>
          <w:szCs w:val="19"/>
        </w:rPr>
        <w:t xml:space="preserve">PERSONAL DETAILS</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Nationality:</w:t>
      </w:r>
      <w:r>
        <w:rPr>
          <w:rFonts w:ascii="Palatino Linotype" w:cs="Palatino Linotype" w:eastAsia="Palatino Linotype" w:hAnsi="Palatino Linotype"/>
          <w:b w:val="false"/>
          <w:bCs w:val="false"/>
          <w:i w:val="false"/>
          <w:iCs w:val="false"/>
          <w:color w:val="1A1A1A"/>
          <w:sz w:val="21"/>
          <w:szCs w:val="21"/>
        </w:rPr>
        <w:t xml:space="preserve"> US &amp; Greek (European)</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Spoken Languages:</w:t>
      </w:r>
      <w:r>
        <w:rPr>
          <w:rFonts w:ascii="Palatino Linotype" w:cs="Palatino Linotype" w:eastAsia="Palatino Linotype" w:hAnsi="Palatino Linotype"/>
          <w:b w:val="false"/>
          <w:bCs w:val="false"/>
          <w:i w:val="false"/>
          <w:iCs w:val="false"/>
          <w:color w:val="1A1A1A"/>
          <w:sz w:val="21"/>
          <w:szCs w:val="21"/>
        </w:rPr>
        <w:t xml:space="preserve"> English &amp; French</w:t>
      </w:r>
    </w:p>
    <w:p>
      <w:pPr>
        <w:pStyle w:val="ListParagraph"/>
        <w:numPr>
          <w:ilvl w:val="0"/>
          <w:numId w:val="2"/>
        </w:numPr>
        <w:spacing w:after="40" w:before="0" w:line="331" w:lineRule="auto"/>
      </w:pPr>
      <w:r>
        <w:rPr>
          <w:rFonts w:ascii="Palatino Linotype" w:cs="Palatino Linotype" w:eastAsia="Palatino Linotype" w:hAnsi="Palatino Linotype"/>
          <w:b/>
          <w:bCs/>
          <w:i w:val="false"/>
          <w:iCs w:val="false"/>
          <w:color w:val="1A1A1A"/>
          <w:sz w:val="21"/>
          <w:szCs w:val="21"/>
        </w:rPr>
        <w:t xml:space="preserve">Email:</w:t>
      </w:r>
      <w:r>
        <w:rPr>
          <w:rFonts w:ascii="Palatino Linotype" w:cs="Palatino Linotype" w:eastAsia="Palatino Linotype" w:hAnsi="Palatino Linotype"/>
          <w:b w:val="false"/>
          <w:bCs w:val="false"/>
          <w:i w:val="false"/>
          <w:iCs w:val="false"/>
          <w:color w:val="1A1A1A"/>
          <w:sz w:val="21"/>
          <w:szCs w:val="21"/>
        </w:rPr>
        <w:t xml:space="preserve"> </w:t>
      </w:r>
      <w:hyperlink w:history="1" r:id="rIdv86zhdmlv4zm6egbktzir">
        <w:r>
          <w:rPr>
            <w:rFonts w:ascii="Palatino Linotype" w:cs="Palatino Linotype" w:eastAsia="Palatino Linotype" w:hAnsi="Palatino Linotype"/>
            <w:b w:val="false"/>
            <w:bCs w:val="false"/>
            <w:color w:val="1A365D"/>
            <w:sz w:val="21"/>
            <w:szCs w:val="21"/>
            <w:u w:val="none"/>
          </w:rPr>
          <w:t xml:space="preserve">thanosv@gmail.com</w:t>
        </w:r>
      </w:hyperlink>
    </w:p>
    <w:p>
      <w:pPr>
        <w:pBdr>
          <w:bottom w:val="single" w:color="222222" w:sz="6" w:space="1"/>
        </w:pBdr>
        <w:spacing w:after="80" w:before="220" w:line="276" w:lineRule="auto"/>
      </w:pPr>
      <w:r>
        <w:rPr>
          <w:rFonts w:ascii="Helvetica Neue" w:cs="Helvetica Neue" w:eastAsia="Helvetica Neue" w:hAnsi="Helvetica Neue"/>
          <w:b/>
          <w:bCs/>
          <w:i w:val="false"/>
          <w:iCs w:val="false"/>
          <w:color w:val="1A1A1A"/>
          <w:spacing w:val="28"/>
          <w:sz w:val="19"/>
          <w:szCs w:val="19"/>
        </w:rPr>
        <w:t xml:space="preserve">WORK REFERENCES</w:t>
      </w:r>
    </w:p>
    <w:p>
      <w:pPr>
        <w:pStyle w:val="ListParagraph"/>
        <w:numPr>
          <w:ilvl w:val="0"/>
          <w:numId w:val="2"/>
        </w:numPr>
        <w:spacing w:after="40" w:before="0" w:line="331" w:lineRule="auto"/>
      </w:pPr>
      <w:r>
        <w:rPr>
          <w:rFonts w:ascii="Palatino Linotype" w:cs="Palatino Linotype" w:eastAsia="Palatino Linotype" w:hAnsi="Palatino Linotype"/>
          <w:b w:val="false"/>
          <w:bCs w:val="false"/>
          <w:i w:val="false"/>
          <w:iCs w:val="false"/>
          <w:color w:val="1A1A1A"/>
          <w:sz w:val="21"/>
          <w:szCs w:val="21"/>
        </w:rPr>
        <w:t xml:space="preserve">Kabir Reike, MD Head of Data Architecture, Bank of America</w:t>
      </w:r>
    </w:p>
    <w:p>
      <w:pPr>
        <w:pStyle w:val="ListParagraph"/>
        <w:numPr>
          <w:ilvl w:val="0"/>
          <w:numId w:val="2"/>
        </w:numPr>
        <w:spacing w:after="40" w:before="0" w:line="331" w:lineRule="auto"/>
      </w:pPr>
      <w:r>
        <w:rPr>
          <w:rFonts w:ascii="Palatino Linotype" w:cs="Palatino Linotype" w:eastAsia="Palatino Linotype" w:hAnsi="Palatino Linotype"/>
          <w:b w:val="false"/>
          <w:bCs w:val="false"/>
          <w:i w:val="false"/>
          <w:iCs w:val="false"/>
          <w:color w:val="1A1A1A"/>
          <w:sz w:val="21"/>
          <w:szCs w:val="21"/>
        </w:rPr>
        <w:t xml:space="preserve">Sid Belzberg, CFO, Infinigon Group - ex Captain of the Canadian Chess Team</w:t>
      </w:r>
    </w:p>
    <w:p>
      <w:pPr>
        <w:pStyle w:val="ListParagraph"/>
        <w:numPr>
          <w:ilvl w:val="0"/>
          <w:numId w:val="2"/>
        </w:numPr>
        <w:spacing w:after="40" w:before="0" w:line="331" w:lineRule="auto"/>
      </w:pPr>
      <w:r>
        <w:rPr>
          <w:rFonts w:ascii="Palatino Linotype" w:cs="Palatino Linotype" w:eastAsia="Palatino Linotype" w:hAnsi="Palatino Linotype"/>
          <w:b w:val="false"/>
          <w:bCs w:val="false"/>
          <w:i w:val="false"/>
          <w:iCs w:val="false"/>
          <w:color w:val="1A1A1A"/>
          <w:sz w:val="21"/>
          <w:szCs w:val="21"/>
        </w:rPr>
        <w:t xml:space="preserve">Endri Mani, MD Head of GenAI, RBC CM</w:t>
      </w:r>
    </w:p>
    <w:p>
      <w:pPr>
        <w:pStyle w:val="ListParagraph"/>
        <w:numPr>
          <w:ilvl w:val="0"/>
          <w:numId w:val="2"/>
        </w:numPr>
        <w:spacing w:after="40" w:before="0" w:line="331" w:lineRule="auto"/>
      </w:pPr>
      <w:r>
        <w:rPr>
          <w:rFonts w:ascii="Palatino Linotype" w:cs="Palatino Linotype" w:eastAsia="Palatino Linotype" w:hAnsi="Palatino Linotype"/>
          <w:b w:val="false"/>
          <w:bCs w:val="false"/>
          <w:i w:val="false"/>
          <w:iCs w:val="false"/>
          <w:color w:val="1A1A1A"/>
          <w:sz w:val="21"/>
          <w:szCs w:val="21"/>
        </w:rPr>
        <w:t xml:space="preserve">Yaroslav Chinskiy, MD, Head of Data Architecture, JP Morgan</w:t>
      </w:r>
    </w:p>
    <w:p>
      <w:pPr>
        <w:pStyle w:val="ListParagraph"/>
        <w:numPr>
          <w:ilvl w:val="0"/>
          <w:numId w:val="2"/>
        </w:numPr>
        <w:spacing w:after="40" w:before="0" w:line="331" w:lineRule="auto"/>
      </w:pPr>
      <w:r>
        <w:rPr>
          <w:rFonts w:ascii="Palatino Linotype" w:cs="Palatino Linotype" w:eastAsia="Palatino Linotype" w:hAnsi="Palatino Linotype"/>
          <w:b w:val="false"/>
          <w:bCs w:val="false"/>
          <w:i w:val="false"/>
          <w:iCs w:val="false"/>
          <w:color w:val="1A1A1A"/>
          <w:sz w:val="21"/>
          <w:szCs w:val="21"/>
        </w:rPr>
        <w:t xml:space="preserve">Geraud Boyer, Director of Engineering, Datadog</w:t>
      </w:r>
    </w:p>
    <w:p>
      <w:pPr>
        <w:pBdr>
          <w:bottom w:val="single" w:color="222222" w:sz="6" w:space="1"/>
        </w:pBdr>
        <w:spacing w:after="80" w:before="220" w:line="276" w:lineRule="auto"/>
      </w:pPr>
      <w:r>
        <w:rPr>
          <w:rFonts w:ascii="Helvetica Neue" w:cs="Helvetica Neue" w:eastAsia="Helvetica Neue" w:hAnsi="Helvetica Neue"/>
          <w:b/>
          <w:bCs/>
          <w:i w:val="false"/>
          <w:iCs w:val="false"/>
          <w:color w:val="1A1A1A"/>
          <w:spacing w:val="28"/>
          <w:sz w:val="19"/>
          <w:szCs w:val="19"/>
        </w:rPr>
        <w:t xml:space="preserve">PERSONAL REFERENCES</w:t>
      </w:r>
    </w:p>
    <w:p>
      <w:pPr>
        <w:pStyle w:val="ListParagraph"/>
        <w:numPr>
          <w:ilvl w:val="0"/>
          <w:numId w:val="2"/>
        </w:numPr>
        <w:spacing w:after="40" w:before="0" w:line="331" w:lineRule="auto"/>
      </w:pPr>
      <w:r>
        <w:rPr>
          <w:rFonts w:ascii="Palatino Linotype" w:cs="Palatino Linotype" w:eastAsia="Palatino Linotype" w:hAnsi="Palatino Linotype"/>
          <w:b w:val="false"/>
          <w:bCs w:val="false"/>
          <w:i w:val="false"/>
          <w:iCs w:val="false"/>
          <w:color w:val="1A1A1A"/>
          <w:sz w:val="21"/>
          <w:szCs w:val="21"/>
        </w:rPr>
        <w:t xml:space="preserve">Bruno Dupire, Head of Quantitative Research, Bloomberg</w:t>
      </w:r>
    </w:p>
    <w:p>
      <w:pPr>
        <w:pStyle w:val="ListParagraph"/>
        <w:numPr>
          <w:ilvl w:val="0"/>
          <w:numId w:val="2"/>
        </w:numPr>
        <w:spacing w:after="40" w:before="0" w:line="331" w:lineRule="auto"/>
      </w:pPr>
      <w:r>
        <w:rPr>
          <w:rFonts w:ascii="Palatino Linotype" w:cs="Palatino Linotype" w:eastAsia="Palatino Linotype" w:hAnsi="Palatino Linotype"/>
          <w:b w:val="false"/>
          <w:bCs w:val="false"/>
          <w:i w:val="false"/>
          <w:iCs w:val="false"/>
          <w:color w:val="1A1A1A"/>
          <w:sz w:val="21"/>
          <w:szCs w:val="21"/>
        </w:rPr>
        <w:t xml:space="preserve">Hope Igelhart, Senior Psychoanalyst, Columbia University</w:t>
      </w:r>
    </w:p>
    <w:p>
      <w:pPr>
        <w:pStyle w:val="ListParagraph"/>
        <w:numPr>
          <w:ilvl w:val="0"/>
          <w:numId w:val="2"/>
        </w:numPr>
        <w:spacing w:after="40" w:before="0" w:line="331" w:lineRule="auto"/>
      </w:pPr>
      <w:r>
        <w:rPr>
          <w:rFonts w:ascii="Palatino Linotype" w:cs="Palatino Linotype" w:eastAsia="Palatino Linotype" w:hAnsi="Palatino Linotype"/>
          <w:b w:val="false"/>
          <w:bCs w:val="false"/>
          <w:i w:val="false"/>
          <w:iCs w:val="false"/>
          <w:color w:val="1A1A1A"/>
          <w:sz w:val="21"/>
          <w:szCs w:val="21"/>
        </w:rPr>
        <w:t xml:space="preserve">Stavros Lambrinidis, European Union ambassador to the UN</w:t>
      </w:r>
    </w:p>
    <w:sectPr>
      <w:pgSz w:w="12240" w:h="15840" w:orient="portrait"/>
      <w:pgMar w:top="864" w:right="936" w:bottom="792" w:left="936"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bcru5ngvilrbxtxol7ud3" Type="http://schemas.openxmlformats.org/officeDocument/2006/relationships/hyperlink" Target="mailto:thanosv@gmail.com" TargetMode="External"/><Relationship Id="rIdhyacgqhdlttvjiiiwgsaz" Type="http://schemas.openxmlformats.org/officeDocument/2006/relationships/hyperlink" Target="https://github.com/thanos" TargetMode="External"/><Relationship Id="rId-onbsuovayegon0-i7wms" Type="http://schemas.openxmlformats.org/officeDocument/2006/relationships/hyperlink" Target="https://thanos.github.io/notes/what-google-says-about-me/" TargetMode="External"/><Relationship Id="rIdv86zhdmlv4zm6egbktzir" Type="http://schemas.openxmlformats.org/officeDocument/2006/relationships/hyperlink" Target="mailto:thanosv@gmail.com"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2026-10-16T12:11:39.429Z</dcterms:created>
  <dcterms:modified xsi:type="dcterms:W3CDTF">2026-10-16T12:11:39.430Z</dcterms:modified>
</cp:coreProperties>
</file>

<file path=docProps/custom.xml><?xml version="1.0" encoding="utf-8"?>
<Properties xmlns="http://schemas.openxmlformats.org/officeDocument/2006/custom-properties" xmlns:vt="http://schemas.openxmlformats.org/officeDocument/2006/docPropsVTypes"/>
</file>