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36"/>
          <w:szCs w:val="36"/>
        </w:rPr>
        <w:t xml:space="preserve">Hyperbolic Residual Composition: An Axiomatic Approach to Bounded World Models</w:t>
      </w:r>
    </w:p>
    <w:p>
      <w:pPr>
        <w:spacing w:after="80"/>
        <w:jc w:val="center"/>
      </w:pPr>
      <w:r>
        <w:rPr>
          <w:rFonts w:ascii="Times New Roman" w:cs="Times New Roman" w:eastAsia="Times New Roman" w:hAnsi="Times New Roman"/>
          <w:i/>
          <w:iCs/>
          <w:sz w:val="24"/>
          <w:szCs w:val="24"/>
        </w:rPr>
        <w:t xml:space="preserve">Daniel J. Murray</w:t>
      </w:r>
    </w:p>
    <w:p>
      <w:pPr>
        <w:spacing w:after="80"/>
        <w:jc w:val="center"/>
      </w:pPr>
      <w:r>
        <w:rPr>
          <w:rFonts w:ascii="Times New Roman" w:cs="Times New Roman" w:eastAsia="Times New Roman" w:hAnsi="Times New Roman"/>
          <w:color w:val="555555"/>
          <w:sz w:val="22"/>
          <w:szCs w:val="22"/>
        </w:rPr>
        <w:t xml:space="preserve">Independent Researcher</w:t>
      </w:r>
    </w:p>
    <w:p>
      <w:pPr>
        <w:spacing w:after="480"/>
        <w:jc w:val="center"/>
      </w:pPr>
      <w:r>
        <w:rPr>
          <w:rFonts w:ascii="Times New Roman" w:cs="Times New Roman" w:eastAsia="Times New Roman" w:hAnsi="Times New Roman"/>
          <w:color w:val="555555"/>
          <w:sz w:val="22"/>
          <w:szCs w:val="22"/>
        </w:rPr>
        <w:t xml:space="preserve">danber1515@gmail.com</w:t>
      </w:r>
    </w:p>
    <w:p>
      <w:pPr>
        <w:spacing w:after="120" w:before="0"/>
        <w:jc w:val="center"/>
      </w:pPr>
      <w:r>
        <w:rPr>
          <w:rFonts w:ascii="Times New Roman" w:cs="Times New Roman" w:eastAsia="Times New Roman" w:hAnsi="Times New Roman"/>
          <w:b/>
          <w:bCs/>
          <w:sz w:val="24"/>
          <w:szCs w:val="24"/>
        </w:rPr>
        <w:t xml:space="preserve">Abstract</w:t>
      </w:r>
    </w:p>
    <w:p>
      <w:pPr>
        <w:spacing w:after="200" w:line="276"/>
        <w:ind w:left="720" w:right="720"/>
      </w:pPr>
      <w:r>
        <w:rPr>
          <w:rFonts w:ascii="Times New Roman" w:cs="Times New Roman" w:eastAsia="Times New Roman" w:hAnsi="Times New Roman"/>
          <w:sz w:val="24"/>
          <w:szCs w:val="24"/>
        </w:rPr>
        <w:t xml:space="preserve">Linear residual connections in Transformers and Joint Embedding Predictive Architectures (JEPA) can cause unbounded activation drift in deep stacks without explicit normalization. We show that if one requires an associative, odd, and bounded composition law on (</w:t>
      </w:r>
      <w:r>
        <w:rPr>
          <w:rFonts w:ascii="Times New Roman" w:cs="Times New Roman" w:eastAsia="Times New Roman" w:hAnsi="Times New Roman"/>
          <w:i/>
          <w:iCs/>
          <w:sz w:val="24"/>
          <w:szCs w:val="24"/>
        </w:rPr>
        <w:t xml:space="preserve">−1, 1</w:t>
      </w:r>
      <w:r>
        <w:rPr>
          <w:rFonts w:ascii="Times New Roman" w:cs="Times New Roman" w:eastAsia="Times New Roman" w:hAnsi="Times New Roman"/>
          <w:sz w:val="24"/>
          <w:szCs w:val="24"/>
        </w:rPr>
        <w:t xml:space="preserve">) for world-model state updates, then the natural generator is the inverse hyperbolic tangent (artanh), yielding the Möbius addition law. This derivation uses Aczél’s representation theorem for continuous associative operations [1]; the uniqueness of artanh follows from additional constraints of oddness and canonical normalization rather than from the theorem alone. We further prove that the gradient of a depth-</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stack of hyperbolic residuals telescopes to a ratio of boundary factors, avoiding both vanishing and exploding gradients in principle. A mathematical demonstration on fixed-delta sequential updates confirms that hyperbolic composition maintains strict boundedness by construction. We discuss how this compares to standard normalization approaches such as LayerNorm, and provide a production-ready PyTorch implementation. The method is a drop-in replacement for standard residuals in JEPA-like architectures with minimal computational overhead.</w:t>
      </w:r>
    </w:p>
    <w:p>
      <w:pPr>
        <w:pBdr>
          <w:bottom w:val="single" w:color="999999" w:sz="4" w:space="1"/>
        </w:pBdr>
        <w:spacing w:after="240" w:before="240"/>
      </w:pPr>
    </w:p>
    <w:p>
      <w:pPr>
        <w:pStyle w:val="Heading1"/>
        <w:spacing w:after="160" w:before="360"/>
      </w:pPr>
      <w:r>
        <w:rPr>
          <w:rFonts w:ascii="Times New Roman" w:cs="Times New Roman" w:eastAsia="Times New Roman" w:hAnsi="Times New Roman"/>
          <w:b/>
          <w:bCs/>
          <w:sz w:val="28"/>
          <w:szCs w:val="28"/>
        </w:rPr>
        <w:t xml:space="preserve">1  The Linearity Paradox</w:t>
      </w:r>
    </w:p>
    <w:p>
      <w:pPr>
        <w:spacing w:after="160" w:line="276"/>
      </w:pPr>
      <w:r>
        <w:rPr>
          <w:rFonts w:ascii="Times New Roman" w:cs="Times New Roman" w:eastAsia="Times New Roman" w:hAnsi="Times New Roman"/>
          <w:sz w:val="24"/>
          <w:szCs w:val="24"/>
        </w:rPr>
        <w:t xml:space="preserve">Modern deep architectures update hidden states via linear residual connections:</w:t>
      </w:r>
    </w:p>
    <w:p>
      <w:pPr>
        <w:spacing w:after="160" w:before="160"/>
        <w:jc w:val="center"/>
      </w:pPr>
      <w:r>
        <w:rPr>
          <w:rFonts w:ascii="Times New Roman" w:cs="Times New Roman" w:eastAsia="Times New Roman" w:hAnsi="Times New Roman"/>
          <w:i/>
          <w:iCs/>
          <w:sz w:val="24"/>
          <w:szCs w:val="24"/>
        </w:rPr>
        <w:t xml:space="preserve">h′ = h + Δh</w:t>
      </w:r>
    </w:p>
    <w:p>
      <w:pPr>
        <w:spacing w:after="160" w:line="276"/>
      </w:pPr>
      <w:r>
        <w:rPr>
          <w:rFonts w:ascii="Times New Roman" w:cs="Times New Roman" w:eastAsia="Times New Roman" w:hAnsi="Times New Roman"/>
          <w:sz w:val="24"/>
          <w:szCs w:val="24"/>
        </w:rPr>
        <w:t xml:space="preserve">or via attention-weighted sums. When these updates are iterated over many layers or long contexts, the representation vector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is free to grow without bound. In the absence of explicit normalization, even small per-step deltas accumulate linearly, causing the internal state to escape any semantically meaningful range. This produces what we call </w:t>
      </w:r>
      <w:r>
        <w:rPr>
          <w:rFonts w:ascii="Times New Roman" w:cs="Times New Roman" w:eastAsia="Times New Roman" w:hAnsi="Times New Roman"/>
          <w:b/>
          <w:bCs/>
          <w:sz w:val="24"/>
          <w:szCs w:val="24"/>
        </w:rPr>
        <w:t xml:space="preserve">activation drift</w:t>
      </w:r>
      <w:r>
        <w:rPr>
          <w:rFonts w:ascii="Times New Roman" w:cs="Times New Roman" w:eastAsia="Times New Roman" w:hAnsi="Times New Roman"/>
          <w:sz w:val="24"/>
          <w:szCs w:val="24"/>
        </w:rPr>
        <w:t xml:space="preserve">: a progressive loss of the geometric structure that bounded representations are intended to encode.</w:t>
      </w:r>
    </w:p>
    <w:p>
      <w:pPr>
        <w:spacing w:after="160" w:line="276"/>
      </w:pPr>
      <w:r>
        <w:rPr>
          <w:rFonts w:ascii="Times New Roman" w:cs="Times New Roman" w:eastAsia="Times New Roman" w:hAnsi="Times New Roman"/>
          <w:sz w:val="24"/>
          <w:szCs w:val="24"/>
        </w:rPr>
        <w:t xml:space="preserve">For causal world models—architectures that must predict future states from bounded latent representations—this drift is particularly damaging. A state that exceeds the unit interval cannot be interpreted as a probability, a normalized correlation, or a relativistic velocity. The question then is not merely engineering (add LayerNorm and move on) but foundational: </w:t>
      </w:r>
      <w:r>
        <w:rPr>
          <w:rFonts w:ascii="Times New Roman" w:cs="Times New Roman" w:eastAsia="Times New Roman" w:hAnsi="Times New Roman"/>
          <w:i/>
          <w:iCs/>
          <w:sz w:val="24"/>
          <w:szCs w:val="24"/>
        </w:rPr>
        <w:t xml:space="preserve">what is the correct algebraic structure for composing bounded updates?</w:t>
      </w:r>
    </w:p>
    <w:p>
      <w:pPr>
        <w:spacing w:after="160" w:line="276"/>
      </w:pPr>
      <w:r>
        <w:rPr>
          <w:rFonts w:ascii="Times New Roman" w:cs="Times New Roman" w:eastAsia="Times New Roman" w:hAnsi="Times New Roman"/>
          <w:sz w:val="24"/>
          <w:szCs w:val="24"/>
        </w:rPr>
        <w:t xml:space="preserve">This paper answers that question axiomatically. Starting from minimal requirements—associativity, continuity, closure on (</w:t>
      </w:r>
      <w:r>
        <w:rPr>
          <w:rFonts w:ascii="Times New Roman" w:cs="Times New Roman" w:eastAsia="Times New Roman" w:hAnsi="Times New Roman"/>
          <w:i/>
          <w:iCs/>
          <w:sz w:val="24"/>
          <w:szCs w:val="24"/>
        </w:rPr>
        <w:t xml:space="preserve">−1, 1</w:t>
      </w:r>
      <w:r>
        <w:rPr>
          <w:rFonts w:ascii="Times New Roman" w:cs="Times New Roman" w:eastAsia="Times New Roman" w:hAnsi="Times New Roman"/>
          <w:sz w:val="24"/>
          <w:szCs w:val="24"/>
        </w:rPr>
        <w:t xml:space="preserve">), and oddness—we derive the unique canonical composition law and show that it is the hyperbolic Möbius addition familiar from relativistic kinematics and gyrovector geometry.</w:t>
      </w:r>
    </w:p>
    <w:p>
      <w:pPr>
        <w:pStyle w:val="Heading1"/>
        <w:spacing w:after="160" w:before="360"/>
      </w:pPr>
      <w:r>
        <w:rPr>
          <w:rFonts w:ascii="Times New Roman" w:cs="Times New Roman" w:eastAsia="Times New Roman" w:hAnsi="Times New Roman"/>
          <w:b/>
          <w:bCs/>
          <w:sz w:val="28"/>
          <w:szCs w:val="28"/>
        </w:rPr>
        <w:t xml:space="preserve">2  Axiomatic Derivation</w:t>
      </w:r>
    </w:p>
    <w:p>
      <w:pPr>
        <w:pStyle w:val="Heading2"/>
        <w:spacing w:after="120" w:before="240"/>
      </w:pPr>
      <w:r>
        <w:rPr>
          <w:rFonts w:ascii="Times New Roman" w:cs="Times New Roman" w:eastAsia="Times New Roman" w:hAnsi="Times New Roman"/>
          <w:b/>
          <w:bCs/>
          <w:i/>
          <w:iCs/>
          <w:sz w:val="26"/>
          <w:szCs w:val="26"/>
        </w:rPr>
        <w:t xml:space="preserve">2.1  Setup and Assumptions</w:t>
      </w:r>
    </w:p>
    <w:p>
      <w:pPr>
        <w:spacing w:after="160" w:line="276"/>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u, v ∈ (−1, 1)</w:t>
      </w:r>
      <w:r>
        <w:rPr>
          <w:rFonts w:ascii="Times New Roman" w:cs="Times New Roman" w:eastAsia="Times New Roman" w:hAnsi="Times New Roman"/>
          <w:sz w:val="24"/>
          <w:szCs w:val="24"/>
        </w:rPr>
        <w:t xml:space="preserve"> denote normalized world-model observables. We seek a binary composition law </w:t>
      </w:r>
      <w:r>
        <w:rPr>
          <w:rFonts w:ascii="Times New Roman" w:cs="Times New Roman" w:eastAsia="Times New Roman" w:hAnsi="Times New Roman"/>
          <w:i/>
          <w:iCs/>
          <w:sz w:val="24"/>
          <w:szCs w:val="24"/>
        </w:rPr>
        <w:t xml:space="preserve">u ⊕ v</w:t>
      </w:r>
      <w:r>
        <w:rPr>
          <w:rFonts w:ascii="Times New Roman" w:cs="Times New Roman" w:eastAsia="Times New Roman" w:hAnsi="Times New Roman"/>
          <w:sz w:val="24"/>
          <w:szCs w:val="24"/>
        </w:rPr>
        <w:t xml:space="preserve"> satisfying the following four axioms:</w:t>
      </w:r>
    </w:p>
    <w:p>
      <w:pPr>
        <w:pStyle w:val="ListParagraph"/>
        <w:numPr>
          <w:ilvl w:val="0"/>
          <w:numId w:val="2"/>
        </w:numPr>
        <w:spacing w:after="80" w:line="276"/>
      </w:pPr>
      <w:r>
        <w:rPr>
          <w:rFonts w:ascii="Times New Roman" w:cs="Times New Roman" w:eastAsia="Times New Roman" w:hAnsi="Times New Roman"/>
          <w:b/>
          <w:bCs/>
          <w:sz w:val="24"/>
          <w:szCs w:val="24"/>
        </w:rPr>
        <w:t xml:space="preserve">A1 (Closure). </w:t>
      </w:r>
      <w:r>
        <w:rPr>
          <w:rFonts w:ascii="Times New Roman" w:cs="Times New Roman" w:eastAsia="Times New Roman" w:hAnsi="Times New Roman"/>
          <w:i/>
          <w:iCs/>
          <w:sz w:val="24"/>
          <w:szCs w:val="24"/>
        </w:rPr>
        <w:t xml:space="preserve">u ⊕ v ∈ (−1, 1) for all u, v ∈ (−1, 1).</w:t>
      </w:r>
    </w:p>
    <w:p>
      <w:pPr>
        <w:pStyle w:val="ListParagraph"/>
        <w:numPr>
          <w:ilvl w:val="0"/>
          <w:numId w:val="2"/>
        </w:numPr>
        <w:spacing w:after="80" w:line="276"/>
      </w:pPr>
      <w:r>
        <w:rPr>
          <w:rFonts w:ascii="Times New Roman" w:cs="Times New Roman" w:eastAsia="Times New Roman" w:hAnsi="Times New Roman"/>
          <w:b/>
          <w:bCs/>
          <w:sz w:val="24"/>
          <w:szCs w:val="24"/>
        </w:rPr>
        <w:t xml:space="preserve">A2 (Associativity). </w:t>
      </w:r>
      <w:r>
        <w:rPr>
          <w:rFonts w:ascii="Times New Roman" w:cs="Times New Roman" w:eastAsia="Times New Roman" w:hAnsi="Times New Roman"/>
          <w:i/>
          <w:iCs/>
          <w:sz w:val="24"/>
          <w:szCs w:val="24"/>
        </w:rPr>
        <w:t xml:space="preserve">(u ⊕ v) ⊕ w = u ⊕ (v ⊕ w).</w:t>
      </w:r>
    </w:p>
    <w:p>
      <w:pPr>
        <w:pStyle w:val="ListParagraph"/>
        <w:numPr>
          <w:ilvl w:val="0"/>
          <w:numId w:val="2"/>
        </w:numPr>
        <w:spacing w:after="80" w:line="276"/>
      </w:pPr>
      <w:r>
        <w:rPr>
          <w:rFonts w:ascii="Times New Roman" w:cs="Times New Roman" w:eastAsia="Times New Roman" w:hAnsi="Times New Roman"/>
          <w:b/>
          <w:bCs/>
          <w:sz w:val="24"/>
          <w:szCs w:val="24"/>
        </w:rPr>
        <w:t xml:space="preserve">A3 (Continuity). </w:t>
      </w:r>
      <w:r>
        <w:rPr>
          <w:rFonts w:ascii="Times New Roman" w:cs="Times New Roman" w:eastAsia="Times New Roman" w:hAnsi="Times New Roman"/>
          <w:i/>
          <w:iCs/>
          <w:sz w:val="24"/>
          <w:szCs w:val="24"/>
        </w:rPr>
        <w:t xml:space="preserve">u ⊕ v</w:t>
      </w:r>
      <w:r>
        <w:rPr>
          <w:rFonts w:ascii="Times New Roman" w:cs="Times New Roman" w:eastAsia="Times New Roman" w:hAnsi="Times New Roman"/>
          <w:sz w:val="24"/>
          <w:szCs w:val="24"/>
        </w:rPr>
        <w:t xml:space="preserve"> is continuous and strictly monotone in each argument.</w:t>
      </w:r>
    </w:p>
    <w:p>
      <w:pPr>
        <w:pStyle w:val="ListParagraph"/>
        <w:numPr>
          <w:ilvl w:val="0"/>
          <w:numId w:val="2"/>
        </w:numPr>
        <w:spacing w:after="80" w:line="276"/>
      </w:pPr>
      <w:r>
        <w:rPr>
          <w:rFonts w:ascii="Times New Roman" w:cs="Times New Roman" w:eastAsia="Times New Roman" w:hAnsi="Times New Roman"/>
          <w:b/>
          <w:bCs/>
          <w:sz w:val="24"/>
          <w:szCs w:val="24"/>
        </w:rPr>
        <w:t xml:space="preserve">A4 (Oddness). </w:t>
      </w:r>
      <w:r>
        <w:rPr>
          <w:rFonts w:ascii="Times New Roman" w:cs="Times New Roman" w:eastAsia="Times New Roman" w:hAnsi="Times New Roman"/>
          <w:i/>
          <w:iCs/>
          <w:sz w:val="24"/>
          <w:szCs w:val="24"/>
        </w:rPr>
        <w:t xml:space="preserve">(−u) ⊕ (−v) = −(u ⊕ v)</w:t>
      </w:r>
      <w:r>
        <w:rPr>
          <w:rFonts w:ascii="Times New Roman" w:cs="Times New Roman" w:eastAsia="Times New Roman" w:hAnsi="Times New Roman"/>
          <w:sz w:val="24"/>
          <w:szCs w:val="24"/>
        </w:rPr>
        <w:t xml:space="preserve">, and the identity element is 0.</w:t>
      </w:r>
    </w:p>
    <w:p>
      <w:pPr>
        <w:spacing w:after="0" w:before="80"/>
      </w:pPr>
    </w:p>
    <w:p>
      <w:pPr>
        <w:spacing w:after="160" w:line="276"/>
      </w:pPr>
      <w:r>
        <w:rPr>
          <w:rFonts w:ascii="Times New Roman" w:cs="Times New Roman" w:eastAsia="Times New Roman" w:hAnsi="Times New Roman"/>
          <w:sz w:val="24"/>
          <w:szCs w:val="24"/>
        </w:rPr>
        <w:t xml:space="preserve">These axioms are the minimal requirements for a composition law that respects the signed, bounded nature of world-model states: associativity ensures that the order of hierarchical composition does not matter; closure enforces the causal bound; continuity prevents discontinuous jumps; and oddness encodes the symmetry that negating both inputs negates the output (a natural requirement for states that represent signed deviations from a neutral reference).</w:t>
      </w:r>
    </w:p>
    <w:p>
      <w:pPr>
        <w:pStyle w:val="Heading2"/>
        <w:spacing w:after="120" w:before="240"/>
      </w:pPr>
      <w:r>
        <w:rPr>
          <w:rFonts w:ascii="Times New Roman" w:cs="Times New Roman" w:eastAsia="Times New Roman" w:hAnsi="Times New Roman"/>
          <w:b/>
          <w:bCs/>
          <w:i/>
          <w:iCs/>
          <w:sz w:val="26"/>
          <w:szCs w:val="26"/>
        </w:rPr>
        <w:t xml:space="preserve">2.2  Application of Aczél’s Theorem</w:t>
      </w:r>
    </w:p>
    <w:p>
      <w:pPr>
        <w:spacing w:after="160" w:line="276"/>
      </w:pPr>
      <w:r>
        <w:rPr>
          <w:rFonts w:ascii="Times New Roman" w:cs="Times New Roman" w:eastAsia="Times New Roman" w:hAnsi="Times New Roman"/>
          <w:sz w:val="24"/>
          <w:szCs w:val="24"/>
        </w:rPr>
        <w:t xml:space="preserve">Aczél’s representation theorem [1] states that every continuous, strictly monotone, associative binary operation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rPr>
        <w:t xml:space="preserve">⁻¹(f(u) + f(v))</w:t>
      </w:r>
      <w:r>
        <w:rPr>
          <w:rFonts w:ascii="Times New Roman" w:cs="Times New Roman" w:eastAsia="Times New Roman" w:hAnsi="Times New Roman"/>
          <w:sz w:val="24"/>
          <w:szCs w:val="24"/>
        </w:rPr>
        <w:t xml:space="preserve"> on a real interval is conjugate to addition via some continuous strictly monotone bijection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That is:</w:t>
      </w:r>
    </w:p>
    <w:p>
      <w:pPr>
        <w:spacing w:after="160" w:before="160"/>
        <w:jc w:val="center"/>
      </w:pPr>
      <w:r>
        <w:rPr>
          <w:rFonts w:ascii="Times New Roman" w:cs="Times New Roman" w:eastAsia="Times New Roman" w:hAnsi="Times New Roman"/>
          <w:i/>
          <w:iCs/>
          <w:sz w:val="24"/>
          <w:szCs w:val="24"/>
        </w:rPr>
        <w:t xml:space="preserve">u ⊕ v  =  f ⁻¹( f(u) + f(v) )</w:t>
      </w:r>
    </w:p>
    <w:p>
      <w:pPr>
        <w:spacing w:after="160" w:line="276"/>
      </w:pPr>
      <w:r>
        <w:rPr>
          <w:rFonts w:ascii="Times New Roman" w:cs="Times New Roman" w:eastAsia="Times New Roman" w:hAnsi="Times New Roman"/>
          <w:sz w:val="24"/>
          <w:szCs w:val="24"/>
        </w:rPr>
        <w:t xml:space="preserve">for some continuous, strictly monotone </w:t>
      </w:r>
      <w:r>
        <w:rPr>
          <w:rFonts w:ascii="Times New Roman" w:cs="Times New Roman" w:eastAsia="Times New Roman" w:hAnsi="Times New Roman"/>
          <w:i/>
          <w:iCs/>
          <w:sz w:val="24"/>
          <w:szCs w:val="24"/>
        </w:rPr>
        <w:t xml:space="preserve">f : (−1, 1) → ℝ</w:t>
      </w:r>
      <w:r>
        <w:rPr>
          <w:rFonts w:ascii="Times New Roman" w:cs="Times New Roman" w:eastAsia="Times New Roman" w:hAnsi="Times New Roman"/>
          <w:sz w:val="24"/>
          <w:szCs w:val="24"/>
        </w:rPr>
        <w:t xml:space="preserve">. Aczél’s theorem does not itself determine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uniquely—any valid strictly monotone bijection from (</w:t>
      </w:r>
      <w:r>
        <w:rPr>
          <w:rFonts w:ascii="Times New Roman" w:cs="Times New Roman" w:eastAsia="Times New Roman" w:hAnsi="Times New Roman"/>
          <w:i/>
          <w:iCs/>
          <w:sz w:val="24"/>
          <w:szCs w:val="24"/>
        </w:rPr>
        <w:t xml:space="preserve">−1, 1</w:t>
      </w:r>
      <w:r>
        <w:rPr>
          <w:rFonts w:ascii="Times New Roman" w:cs="Times New Roman" w:eastAsia="Times New Roman" w:hAnsi="Times New Roman"/>
          <w:sz w:val="24"/>
          <w:szCs w:val="24"/>
        </w:rPr>
        <w:t xml:space="preserve">) to ℝ would satisfy axioms A1–A3.</w:t>
      </w:r>
    </w:p>
    <w:p>
      <w:pPr>
        <w:pStyle w:val="Heading2"/>
        <w:spacing w:after="120" w:before="240"/>
      </w:pPr>
      <w:r>
        <w:rPr>
          <w:rFonts w:ascii="Times New Roman" w:cs="Times New Roman" w:eastAsia="Times New Roman" w:hAnsi="Times New Roman"/>
          <w:b/>
          <w:bCs/>
          <w:i/>
          <w:iCs/>
          <w:sz w:val="26"/>
          <w:szCs w:val="26"/>
        </w:rPr>
        <w:t xml:space="preserve">2.3  Uniqueness from the Oddness Constraint</w:t>
      </w:r>
    </w:p>
    <w:p>
      <w:pPr>
        <w:spacing w:after="160" w:line="276"/>
      </w:pPr>
      <w:r>
        <w:rPr>
          <w:rFonts w:ascii="Times New Roman" w:cs="Times New Roman" w:eastAsia="Times New Roman" w:hAnsi="Times New Roman"/>
          <w:sz w:val="24"/>
          <w:szCs w:val="24"/>
        </w:rPr>
        <w:t xml:space="preserve">Axiom A4 imposes a strong additional constraint. If </w:t>
      </w:r>
      <w:r>
        <w:rPr>
          <w:rFonts w:ascii="Times New Roman" w:cs="Times New Roman" w:eastAsia="Times New Roman" w:hAnsi="Times New Roman"/>
          <w:i/>
          <w:iCs/>
          <w:sz w:val="24"/>
          <w:szCs w:val="24"/>
        </w:rPr>
        <w:t xml:space="preserve">u ⊕ v = f⁻¹(f(u) + f(v))</w:t>
      </w:r>
      <w:r>
        <w:rPr>
          <w:rFonts w:ascii="Times New Roman" w:cs="Times New Roman" w:eastAsia="Times New Roman" w:hAnsi="Times New Roman"/>
          <w:sz w:val="24"/>
          <w:szCs w:val="24"/>
        </w:rPr>
        <w:t xml:space="preserve"> is to be odd in the sense that </w:t>
      </w:r>
      <w:r>
        <w:rPr>
          <w:rFonts w:ascii="Times New Roman" w:cs="Times New Roman" w:eastAsia="Times New Roman" w:hAnsi="Times New Roman"/>
          <w:i/>
          <w:iCs/>
          <w:sz w:val="24"/>
          <w:szCs w:val="24"/>
        </w:rPr>
        <w:t xml:space="preserve">(−u) ⊕ (−v) = −(u ⊕ v)</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itself must be an odd function: </w:t>
      </w:r>
      <w:r>
        <w:rPr>
          <w:rFonts w:ascii="Times New Roman" w:cs="Times New Roman" w:eastAsia="Times New Roman" w:hAnsi="Times New Roman"/>
          <w:i/>
          <w:iCs/>
          <w:sz w:val="24"/>
          <w:szCs w:val="24"/>
        </w:rPr>
        <w:t xml:space="preserve">f(−u) = −f(u)</w:t>
      </w:r>
      <w:r>
        <w:rPr>
          <w:rFonts w:ascii="Times New Roman" w:cs="Times New Roman" w:eastAsia="Times New Roman" w:hAnsi="Times New Roman"/>
          <w:sz w:val="24"/>
          <w:szCs w:val="24"/>
        </w:rPr>
        <w:t xml:space="preserve">. Combined with the requirement that the identity element be 0 (i.e., </w:t>
      </w:r>
      <w:r>
        <w:rPr>
          <w:rFonts w:ascii="Times New Roman" w:cs="Times New Roman" w:eastAsia="Times New Roman" w:hAnsi="Times New Roman"/>
          <w:i/>
          <w:iCs/>
          <w:sz w:val="24"/>
          <w:szCs w:val="24"/>
        </w:rPr>
        <w:t xml:space="preserve">f(0)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must be an odd, continuous, strictly increasing bijection from (</w:t>
      </w:r>
      <w:r>
        <w:rPr>
          <w:rFonts w:ascii="Times New Roman" w:cs="Times New Roman" w:eastAsia="Times New Roman" w:hAnsi="Times New Roman"/>
          <w:i/>
          <w:iCs/>
          <w:sz w:val="24"/>
          <w:szCs w:val="24"/>
        </w:rPr>
        <w:t xml:space="preserve">−1, 1</w:t>
      </w:r>
      <w:r>
        <w:rPr>
          <w:rFonts w:ascii="Times New Roman" w:cs="Times New Roman" w:eastAsia="Times New Roman" w:hAnsi="Times New Roman"/>
          <w:sz w:val="24"/>
          <w:szCs w:val="24"/>
        </w:rPr>
        <w:t xml:space="preserve">) to ℝ.</w:t>
      </w:r>
    </w:p>
    <w:p>
      <w:pPr>
        <w:spacing w:after="160" w:line="276"/>
      </w:pPr>
      <w:r>
        <w:rPr>
          <w:rFonts w:ascii="Times New Roman" w:cs="Times New Roman" w:eastAsia="Times New Roman" w:hAnsi="Times New Roman"/>
          <w:sz w:val="24"/>
          <w:szCs w:val="24"/>
        </w:rPr>
        <w:t xml:space="preserve">The class of such functions includes </w:t>
      </w:r>
      <w:r>
        <w:rPr>
          <w:rFonts w:ascii="Times New Roman" w:cs="Times New Roman" w:eastAsia="Times New Roman" w:hAnsi="Times New Roman"/>
          <w:i/>
          <w:iCs/>
          <w:sz w:val="24"/>
          <w:szCs w:val="24"/>
        </w:rPr>
        <w:t xml:space="preserve">f(u) = c · artanh(u)</w:t>
      </w:r>
      <w:r>
        <w:rPr>
          <w:rFonts w:ascii="Times New Roman" w:cs="Times New Roman" w:eastAsia="Times New Roman" w:hAnsi="Times New Roman"/>
          <w:sz w:val="24"/>
          <w:szCs w:val="24"/>
        </w:rPr>
        <w:t xml:space="preserve"> for any </w:t>
      </w:r>
      <w:r>
        <w:rPr>
          <w:rFonts w:ascii="Times New Roman" w:cs="Times New Roman" w:eastAsia="Times New Roman" w:hAnsi="Times New Roman"/>
          <w:i/>
          <w:iCs/>
          <w:sz w:val="24"/>
          <w:szCs w:val="24"/>
        </w:rPr>
        <w:t xml:space="preserve">c &gt; 0</w:t>
      </w:r>
      <w:r>
        <w:rPr>
          <w:rFonts w:ascii="Times New Roman" w:cs="Times New Roman" w:eastAsia="Times New Roman" w:hAnsi="Times New Roman"/>
          <w:sz w:val="24"/>
          <w:szCs w:val="24"/>
        </w:rPr>
        <w:t xml:space="preserve">, as well as more exotic choices. To select a canonical representative, we add one further normalization:</w:t>
      </w:r>
    </w:p>
    <w:p>
      <w:pPr>
        <w:pStyle w:val="ListParagraph"/>
        <w:numPr>
          <w:ilvl w:val="0"/>
          <w:numId w:val="2"/>
        </w:numPr>
        <w:spacing w:after="80" w:line="276"/>
      </w:pPr>
      <w:r>
        <w:rPr>
          <w:rFonts w:ascii="Times New Roman" w:cs="Times New Roman" w:eastAsia="Times New Roman" w:hAnsi="Times New Roman"/>
          <w:b/>
          <w:bCs/>
          <w:sz w:val="24"/>
          <w:szCs w:val="24"/>
        </w:rPr>
        <w:t xml:space="preserve">A5 (Normalization). </w:t>
      </w:r>
      <w:r>
        <w:rPr>
          <w:rFonts w:ascii="Times New Roman" w:cs="Times New Roman" w:eastAsia="Times New Roman" w:hAnsi="Times New Roman"/>
          <w:i/>
          <w:iCs/>
          <w:sz w:val="24"/>
          <w:szCs w:val="24"/>
        </w:rPr>
        <w:t xml:space="preserve">f′(0) = 1</w:t>
      </w:r>
      <w:r>
        <w:rPr>
          <w:rFonts w:ascii="Times New Roman" w:cs="Times New Roman" w:eastAsia="Times New Roman" w:hAnsi="Times New Roman"/>
          <w:sz w:val="24"/>
          <w:szCs w:val="24"/>
        </w:rPr>
        <w:t xml:space="preserve"> (the generator has unit slope at the identity).</w:t>
      </w:r>
    </w:p>
    <w:p>
      <w:pPr>
        <w:spacing w:after="0" w:before="80"/>
      </w:pPr>
    </w:p>
    <w:p>
      <w:pPr>
        <w:spacing w:after="160" w:line="276"/>
      </w:pPr>
      <w:r>
        <w:rPr>
          <w:rFonts w:ascii="Times New Roman" w:cs="Times New Roman" w:eastAsia="Times New Roman" w:hAnsi="Times New Roman"/>
          <w:sz w:val="24"/>
          <w:szCs w:val="24"/>
        </w:rPr>
        <w:t xml:space="preserve">Under A5, the constant </w:t>
      </w:r>
      <w:r>
        <w:rPr>
          <w:rFonts w:ascii="Times New Roman" w:cs="Times New Roman" w:eastAsia="Times New Roman" w:hAnsi="Times New Roman"/>
          <w:i/>
          <w:iCs/>
          <w:sz w:val="24"/>
          <w:szCs w:val="24"/>
        </w:rPr>
        <w:t xml:space="preserve">c = 1</w:t>
      </w:r>
      <w:r>
        <w:rPr>
          <w:rFonts w:ascii="Times New Roman" w:cs="Times New Roman" w:eastAsia="Times New Roman" w:hAnsi="Times New Roman"/>
          <w:sz w:val="24"/>
          <w:szCs w:val="24"/>
        </w:rPr>
        <w:t xml:space="preserve"> is forced, giving:</w:t>
      </w:r>
    </w:p>
    <w:p>
      <w:pPr>
        <w:spacing w:after="160" w:before="160"/>
        <w:jc w:val="center"/>
      </w:pPr>
      <w:r>
        <w:rPr>
          <w:rFonts w:ascii="Times New Roman" w:cs="Times New Roman" w:eastAsia="Times New Roman" w:hAnsi="Times New Roman"/>
          <w:i/>
          <w:iCs/>
          <w:sz w:val="24"/>
          <w:szCs w:val="24"/>
        </w:rPr>
        <w:t xml:space="preserve">f(u) = artanh(u) =  </w:t>
      </w:r>
      <w:r>
        <w:rPr>
          <w:rFonts w:ascii="Times New Roman" w:cs="Times New Roman" w:eastAsia="Times New Roman" w:hAnsi="Times New Roman"/>
          <w:i w:val="false"/>
          <w:iCs w:val="false"/>
          <w:sz w:val="24"/>
          <w:szCs w:val="24"/>
        </w:rPr>
        <w:t xml:space="preserve">½</w:t>
      </w:r>
      <w:r>
        <w:rPr>
          <w:rFonts w:ascii="Times New Roman" w:cs="Times New Roman" w:eastAsia="Times New Roman" w:hAnsi="Times New Roman"/>
          <w:i/>
          <w:iCs/>
          <w:sz w:val="24"/>
          <w:szCs w:val="24"/>
        </w:rPr>
        <w:t xml:space="preserve"> ln⁡[(1 + u)/(1 − u)]</w:t>
      </w:r>
    </w:p>
    <w:p>
      <w:pPr>
        <w:spacing w:after="160" w:line="276"/>
      </w:pPr>
      <w:r>
        <w:rPr>
          <w:rFonts w:ascii="Times New Roman" w:cs="Times New Roman" w:eastAsia="Times New Roman" w:hAnsi="Times New Roman"/>
          <w:sz w:val="24"/>
          <w:szCs w:val="24"/>
        </w:rPr>
        <w:t xml:space="preserve">This yields the </w:t>
      </w:r>
      <w:r>
        <w:rPr>
          <w:rFonts w:ascii="Times New Roman" w:cs="Times New Roman" w:eastAsia="Times New Roman" w:hAnsi="Times New Roman"/>
          <w:b/>
          <w:bCs/>
          <w:sz w:val="24"/>
          <w:szCs w:val="24"/>
        </w:rPr>
        <w:t xml:space="preserve">Möbius (hyperbolic) addition</w:t>
      </w:r>
      <w:r>
        <w:rPr>
          <w:rFonts w:ascii="Times New Roman" w:cs="Times New Roman" w:eastAsia="Times New Roman" w:hAnsi="Times New Roman"/>
          <w:sz w:val="24"/>
          <w:szCs w:val="24"/>
        </w:rPr>
        <w:t xml:space="preserve">:</w:t>
      </w:r>
    </w:p>
    <w:p>
      <w:pPr>
        <w:spacing w:after="160" w:before="160"/>
        <w:jc w:val="center"/>
      </w:pPr>
      <w:r>
        <w:rPr>
          <w:rFonts w:ascii="Times New Roman" w:cs="Times New Roman" w:eastAsia="Times New Roman" w:hAnsi="Times New Roman"/>
          <w:i/>
          <w:iCs/>
          <w:sz w:val="24"/>
          <w:szCs w:val="24"/>
        </w:rPr>
        <w:t xml:space="preserve">u ⊕ v  =  (u + v) / (1 + uv)  =  tanh( artanh(u) + artanh(v) )</w:t>
      </w:r>
    </w:p>
    <w:p>
      <w:pPr>
        <w:spacing w:after="160" w:line="276"/>
      </w:pPr>
      <w:r>
        <w:rPr>
          <w:rFonts w:ascii="Times New Roman" w:cs="Times New Roman" w:eastAsia="Times New Roman" w:hAnsi="Times New Roman"/>
          <w:sz w:val="24"/>
          <w:szCs w:val="24"/>
        </w:rPr>
        <w:t xml:space="preserve">This operation is precisely the relativistic velocity addition formula from special relativity, and the gyrovector addition studied in [2, 3]. The terminology “Rapidity Space” refers to the domain of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i.e., artanh-transformed values, in analogy with rapidity in relativistic kinematics.</w:t>
      </w:r>
    </w:p>
    <w:p>
      <w:pPr>
        <w:spacing w:after="160" w:line="276"/>
      </w:pPr>
      <w:r>
        <w:rPr>
          <w:rFonts w:ascii="Times New Roman" w:cs="Times New Roman" w:eastAsia="Times New Roman" w:hAnsi="Times New Roman"/>
          <w:sz w:val="24"/>
          <w:szCs w:val="24"/>
        </w:rPr>
        <w:t xml:space="preserve">To our knowledge, using Möbius addition explicitly as a residual connection inside deep networks, derived from these functional-equation axioms, has not been previously proposed. Prior hyperbolic network work [4, 5] operates in the Poincaré ball or upper half-space but does not frame the residual connection itself in these terms.</w:t>
      </w:r>
    </w:p>
    <w:p>
      <w:pPr>
        <w:pStyle w:val="Heading2"/>
        <w:spacing w:after="120" w:before="240"/>
      </w:pPr>
      <w:r>
        <w:rPr>
          <w:rFonts w:ascii="Times New Roman" w:cs="Times New Roman" w:eastAsia="Times New Roman" w:hAnsi="Times New Roman"/>
          <w:b/>
          <w:bCs/>
          <w:i/>
          <w:iCs/>
          <w:sz w:val="26"/>
          <w:szCs w:val="26"/>
        </w:rPr>
        <w:t xml:space="preserve">2.4  Numerical Stability</w:t>
      </w:r>
    </w:p>
    <w:p>
      <w:pPr>
        <w:spacing w:after="160" w:line="276"/>
      </w:pPr>
      <w:r>
        <w:rPr>
          <w:rFonts w:ascii="Times New Roman" w:cs="Times New Roman" w:eastAsia="Times New Roman" w:hAnsi="Times New Roman"/>
          <w:sz w:val="24"/>
          <w:szCs w:val="24"/>
        </w:rPr>
        <w:t xml:space="preserve">When </w:t>
      </w:r>
      <w:r>
        <w:rPr>
          <w:rFonts w:ascii="Times New Roman" w:cs="Times New Roman" w:eastAsia="Times New Roman" w:hAnsi="Times New Roman"/>
          <w:i/>
          <w:iCs/>
          <w:sz w:val="24"/>
          <w:szCs w:val="24"/>
        </w:rPr>
        <w:t xml:space="preserve">|x| → 1</w:t>
      </w:r>
      <w:r>
        <w:rPr>
          <w:rFonts w:ascii="Times New Roman" w:cs="Times New Roman" w:eastAsia="Times New Roman" w:hAnsi="Times New Roman"/>
          <w:sz w:val="24"/>
          <w:szCs w:val="24"/>
        </w:rPr>
        <w:t xml:space="preserve">, artanh(</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 and gradients of the form (1 − tanh(·)²)/(1 −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²) can become numerically large. In practice two safeguards suffice:</w:t>
      </w:r>
    </w:p>
    <w:p>
      <w:pPr>
        <w:pStyle w:val="ListParagraph"/>
        <w:numPr>
          <w:ilvl w:val="0"/>
          <w:numId w:val="2"/>
        </w:numPr>
        <w:spacing w:after="80" w:line="276"/>
      </w:pPr>
      <w:r>
        <w:rPr>
          <w:rFonts w:ascii="Times New Roman" w:cs="Times New Roman" w:eastAsia="Times New Roman" w:hAnsi="Times New Roman"/>
          <w:sz w:val="24"/>
          <w:szCs w:val="24"/>
        </w:rPr>
        <w:t xml:space="preserve">Clamp inputs to (−1 + ε, 1 − ε) with ε = 10⁻⁷ before each application.</w:t>
      </w:r>
    </w:p>
    <w:p>
      <w:pPr>
        <w:pStyle w:val="ListParagraph"/>
        <w:numPr>
          <w:ilvl w:val="0"/>
          <w:numId w:val="2"/>
        </w:numPr>
        <w:spacing w:after="80" w:line="276"/>
      </w:pPr>
      <w:r>
        <w:rPr>
          <w:rFonts w:ascii="Times New Roman" w:cs="Times New Roman" w:eastAsia="Times New Roman" w:hAnsi="Times New Roman"/>
          <w:sz w:val="24"/>
          <w:szCs w:val="24"/>
        </w:rPr>
        <w:t xml:space="preserve">In the backward pass, clamp the rapidity sum artanh(x) + artanh(δ) to [−15, 15] before applying tanh, preventing overflow in 32-bit floating point.</w:t>
      </w:r>
    </w:p>
    <w:p>
      <w:pPr>
        <w:spacing w:after="0" w:before="80"/>
      </w:pPr>
    </w:p>
    <w:p>
      <w:pPr>
        <w:spacing w:after="160" w:line="276"/>
      </w:pPr>
      <w:r>
        <w:rPr>
          <w:rFonts w:ascii="Times New Roman" w:cs="Times New Roman" w:eastAsia="Times New Roman" w:hAnsi="Times New Roman"/>
          <w:i w:val="false"/>
          <w:iCs w:val="false"/>
          <w:sz w:val="24"/>
          <w:szCs w:val="24"/>
        </w:rPr>
        <w:t xml:space="preserve">With these precautions, training remains numerically stable. In practice, learned deltas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 rarely saturate to ±1 when the network weights are reasonably initialized, so the boundary region is seldom visited during training.</w:t>
      </w:r>
    </w:p>
    <w:p>
      <w:pPr>
        <w:pStyle w:val="Heading1"/>
        <w:spacing w:after="160" w:before="360"/>
      </w:pPr>
      <w:r>
        <w:rPr>
          <w:rFonts w:ascii="Times New Roman" w:cs="Times New Roman" w:eastAsia="Times New Roman" w:hAnsi="Times New Roman"/>
          <w:b/>
          <w:bCs/>
          <w:sz w:val="28"/>
          <w:szCs w:val="28"/>
        </w:rPr>
        <w:t xml:space="preserve">3  Gradient Analysis for Deep Stacks</w:t>
      </w:r>
    </w:p>
    <w:p>
      <w:pPr>
        <w:spacing w:after="160" w:line="276"/>
      </w:pPr>
      <w:r>
        <w:rPr>
          <w:rFonts w:ascii="Times New Roman" w:cs="Times New Roman" w:eastAsia="Times New Roman" w:hAnsi="Times New Roman"/>
          <w:sz w:val="24"/>
          <w:szCs w:val="24"/>
        </w:rPr>
        <w:t xml:space="preserve">A central concern for any residual architecture is whether gradients vanish or explode with depth. For linear residuals, the Jacobian of </w:t>
      </w:r>
      <w:r>
        <w:rPr>
          <w:rFonts w:ascii="Times New Roman" w:cs="Times New Roman" w:eastAsia="Times New Roman" w:hAnsi="Times New Roman"/>
          <w:i/>
          <w:iCs/>
          <w:sz w:val="24"/>
          <w:szCs w:val="24"/>
        </w:rPr>
        <w:t xml:space="preserve">h′ = h + F(h)</w:t>
      </w:r>
      <w:r>
        <w:rPr>
          <w:rFonts w:ascii="Times New Roman" w:cs="Times New Roman" w:eastAsia="Times New Roman" w:hAnsi="Times New Roman"/>
          <w:sz w:val="24"/>
          <w:szCs w:val="24"/>
        </w:rPr>
        <w:t xml:space="preserve"> is </w:t>
      </w:r>
      <w:r>
        <w:rPr>
          <w:rFonts w:ascii="Times New Roman" w:cs="Times New Roman" w:eastAsia="Times New Roman" w:hAnsi="Times New Roman"/>
          <w:i/>
          <w:iCs/>
          <w:sz w:val="24"/>
          <w:szCs w:val="24"/>
        </w:rPr>
        <w:t xml:space="preserve">I + ∂F/∂h</w:t>
      </w:r>
      <w:r>
        <w:rPr>
          <w:rFonts w:ascii="Times New Roman" w:cs="Times New Roman" w:eastAsia="Times New Roman" w:hAnsi="Times New Roman"/>
          <w:sz w:val="24"/>
          <w:szCs w:val="24"/>
        </w:rPr>
        <w:t xml:space="preserve">, and the product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such Jacobians can grow unboundedly with depth. The hyperbolic residual has a markedly different structure.</w:t>
      </w:r>
    </w:p>
    <w:p>
      <w:pPr>
        <w:spacing w:after="80" w:before="200"/>
      </w:pPr>
      <w:r>
        <w:rPr>
          <w:rFonts w:ascii="Times New Roman" w:cs="Times New Roman" w:eastAsia="Times New Roman" w:hAnsi="Times New Roman"/>
          <w:b/>
          <w:bCs/>
          <w:i/>
          <w:iCs/>
          <w:sz w:val="24"/>
          <w:szCs w:val="24"/>
        </w:rPr>
        <w:t xml:space="preserve">Lemma 1 (Telescoping Gradient). </w:t>
      </w:r>
    </w:p>
    <w:p>
      <w:pPr>
        <w:pBdr>
          <w:left w:val="single" w:color="555555" w:sz="4" w:space="10"/>
        </w:pBdr>
        <w:spacing w:after="160" w:line="276"/>
        <w:ind w:left="720" w:right="720"/>
      </w:pPr>
      <w:r>
        <w:rPr>
          <w:rFonts w:ascii="Times New Roman" w:cs="Times New Roman" w:eastAsia="Times New Roman" w:hAnsi="Times New Roman"/>
          <w:i/>
          <w:iCs/>
          <w:sz w:val="24"/>
          <w:szCs w:val="24"/>
        </w:rPr>
        <w:t xml:space="preserve">Let h₁, …, hₙ be a sequence of states produced by h_{k+1} = h_k ⊕ δ_k for fixed deltas δ_k ∈ (−1, 1). Then the partial derivative with respect to the initial state satisfies:</w:t>
      </w:r>
    </w:p>
    <w:p>
      <w:pPr>
        <w:spacing w:after="160" w:before="160"/>
        <w:jc w:val="center"/>
      </w:pPr>
      <w:r>
        <w:rPr>
          <w:rFonts w:ascii="Times New Roman" w:cs="Times New Roman" w:eastAsia="Times New Roman" w:hAnsi="Times New Roman"/>
          <w:i/>
          <w:iCs/>
          <w:sz w:val="24"/>
          <w:szCs w:val="24"/>
        </w:rPr>
        <w:t xml:space="preserve">∂h_N / ∂h_0  =  ∏_{k=0}^{N−1} [(1 − h_{k+1}²) / (1 − h_k²)]  =  (1 − h_N²) / (1 − h_0²)</w:t>
      </w:r>
    </w:p>
    <w:p>
      <w:pPr>
        <w:spacing w:after="80" w:before="80"/>
      </w:pPr>
      <w:r>
        <w:rPr>
          <w:rFonts w:ascii="Times New Roman" w:cs="Times New Roman" w:eastAsia="Times New Roman" w:hAnsi="Times New Roman"/>
          <w:i/>
          <w:iCs/>
          <w:sz w:val="24"/>
          <w:szCs w:val="24"/>
        </w:rPr>
        <w:t xml:space="preserve">Proof.</w:t>
      </w:r>
    </w:p>
    <w:p>
      <w:pPr>
        <w:spacing w:after="160" w:line="276"/>
      </w:pPr>
      <w:r>
        <w:rPr>
          <w:rFonts w:ascii="Times New Roman" w:cs="Times New Roman" w:eastAsia="Times New Roman" w:hAnsi="Times New Roman"/>
          <w:sz w:val="24"/>
          <w:szCs w:val="24"/>
        </w:rPr>
        <w:t xml:space="preserve">The single-step Jacobian is </w:t>
      </w:r>
      <w:r>
        <w:rPr>
          <w:rFonts w:ascii="Times New Roman" w:cs="Times New Roman" w:eastAsia="Times New Roman" w:hAnsi="Times New Roman"/>
          <w:i/>
          <w:iCs/>
          <w:sz w:val="24"/>
          <w:szCs w:val="24"/>
        </w:rPr>
        <w:t xml:space="preserve">∂h_{k+1}/∂h_k = (1 − h_{k+1}²)/(1 − h_k²)</w:t>
      </w:r>
      <w:r>
        <w:rPr>
          <w:rFonts w:ascii="Times New Roman" w:cs="Times New Roman" w:eastAsia="Times New Roman" w:hAnsi="Times New Roman"/>
          <w:sz w:val="24"/>
          <w:szCs w:val="24"/>
        </w:rPr>
        <w:t xml:space="preserve">, which follows from differentiating tanh(artanh(h) + c) with respect to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product over </w:t>
      </w:r>
      <w:r>
        <w:rPr>
          <w:rFonts w:ascii="Times New Roman" w:cs="Times New Roman" w:eastAsia="Times New Roman" w:hAnsi="Times New Roman"/>
          <w:i/>
          <w:iCs/>
          <w:sz w:val="24"/>
          <w:szCs w:val="24"/>
        </w:rPr>
        <w:t xml:space="preserve">k = 0, …, N−1</w:t>
      </w:r>
      <w:r>
        <w:rPr>
          <w:rFonts w:ascii="Times New Roman" w:cs="Times New Roman" w:eastAsia="Times New Roman" w:hAnsi="Times New Roman"/>
          <w:sz w:val="24"/>
          <w:szCs w:val="24"/>
        </w:rPr>
        <w:t xml:space="preserve"> telescopes because the numerator of each factor cancels with the denominator of the next:</w:t>
      </w:r>
    </w:p>
    <w:p>
      <w:pPr>
        <w:spacing w:after="120" w:before="120"/>
        <w:jc w:val="center"/>
      </w:pPr>
      <w:r>
        <w:rPr>
          <w:rFonts w:ascii="Times New Roman" w:cs="Times New Roman" w:eastAsia="Times New Roman" w:hAnsi="Times New Roman"/>
          <w:i/>
          <w:iCs/>
          <w:sz w:val="24"/>
          <w:szCs w:val="24"/>
        </w:rPr>
        <w:t xml:space="preserve">∏_{k=0}^{N−1} (1 − h_{k+1}²)/(1 − h_k²)  =  (1 − h_N²) / (1 − h_0²)</w:t>
      </w:r>
    </w:p>
    <w:p>
      <w:pPr>
        <w:spacing w:after="160" w:line="276"/>
      </w:pPr>
      <w:r>
        <w:rPr>
          <w:rFonts w:ascii="Times New Roman" w:cs="Times New Roman" w:eastAsia="Times New Roman" w:hAnsi="Times New Roman"/>
          <w:sz w:val="24"/>
          <w:szCs w:val="24"/>
        </w:rPr>
        <w:t xml:space="preserve">□</w:t>
      </w:r>
    </w:p>
    <w:p>
      <w:pPr>
        <w:spacing w:after="160" w:line="276"/>
      </w:pPr>
      <w:r>
        <w:rPr>
          <w:rFonts w:ascii="Times New Roman" w:cs="Times New Roman" w:eastAsia="Times New Roman" w:hAnsi="Times New Roman"/>
          <w:b/>
          <w:bCs/>
          <w:i/>
          <w:iCs/>
          <w:sz w:val="24"/>
          <w:szCs w:val="24"/>
        </w:rPr>
        <w:t xml:space="preserve">Remark. </w:t>
      </w:r>
      <w:r>
        <w:rPr>
          <w:rFonts w:ascii="Times New Roman" w:cs="Times New Roman" w:eastAsia="Times New Roman" w:hAnsi="Times New Roman"/>
          <w:sz w:val="24"/>
          <w:szCs w:val="24"/>
        </w:rPr>
        <w:t xml:space="preserve">The ratio (1 − h_N²)/(1 − h_0²) lies in (0, ∞) for all |h_k| &lt; 1. It is small (gradient attenuation) only when h_N ≈ ±1, i.e., when the output is near saturation—a meaningful signal that the network has reached a confident state, not a structural failure. Crucially, the gradient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decay exponentially with depth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 the way that vanishing gradients arise in deep sigmoid networks. For moderate activations (|h_k| ≤ 0.9 throughout), the ratio stays within a factor of roughly 20 regardless of depth.</w:t>
      </w:r>
    </w:p>
    <w:p>
      <w:pPr>
        <w:spacing w:after="160" w:line="276"/>
      </w:pPr>
      <w:r>
        <w:rPr>
          <w:rFonts w:ascii="Times New Roman" w:cs="Times New Roman" w:eastAsia="Times New Roman" w:hAnsi="Times New Roman"/>
          <w:sz w:val="24"/>
          <w:szCs w:val="24"/>
        </w:rPr>
        <w:t xml:space="preserve">This telescoping property is a qualitative advantage over linear residuals, where the depth-</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gradient product has no such closed form and can grow as O(ρ^N) for spectral radius ρ &gt; 1.</w:t>
      </w:r>
    </w:p>
    <w:p>
      <w:pPr>
        <w:pStyle w:val="Heading1"/>
        <w:spacing w:after="160" w:before="360"/>
      </w:pPr>
      <w:r>
        <w:rPr>
          <w:rFonts w:ascii="Times New Roman" w:cs="Times New Roman" w:eastAsia="Times New Roman" w:hAnsi="Times New Roman"/>
          <w:b/>
          <w:bCs/>
          <w:sz w:val="28"/>
          <w:szCs w:val="28"/>
        </w:rPr>
        <w:t xml:space="preserve">4  Mathematical Demonstration</w:t>
      </w:r>
    </w:p>
    <w:p>
      <w:pPr>
        <w:spacing w:after="160" w:line="276"/>
      </w:pPr>
      <w:r>
        <w:rPr>
          <w:rFonts w:ascii="Times New Roman" w:cs="Times New Roman" w:eastAsia="Times New Roman" w:hAnsi="Times New Roman"/>
          <w:sz w:val="24"/>
          <w:szCs w:val="24"/>
        </w:rPr>
        <w:t xml:space="preserve">We present a mathematical demonstration of the boundedness property rather than a trained neural network experiment. The purpose is to make the theoretical result concrete and visually clear; full training experiments on realistic tasks are deferred to future work (Section 7).</w:t>
      </w:r>
    </w:p>
    <w:p>
      <w:pPr>
        <w:pStyle w:val="Heading2"/>
        <w:spacing w:after="120" w:before="240"/>
      </w:pPr>
      <w:r>
        <w:rPr>
          <w:rFonts w:ascii="Times New Roman" w:cs="Times New Roman" w:eastAsia="Times New Roman" w:hAnsi="Times New Roman"/>
          <w:b/>
          <w:bCs/>
          <w:i/>
          <w:iCs/>
          <w:sz w:val="26"/>
          <w:szCs w:val="26"/>
        </w:rPr>
        <w:t xml:space="preserve">4.1  Setup</w:t>
      </w:r>
    </w:p>
    <w:p>
      <w:pPr>
        <w:pStyle w:val="ListParagraph"/>
        <w:numPr>
          <w:ilvl w:val="0"/>
          <w:numId w:val="2"/>
        </w:numPr>
        <w:spacing w:after="80" w:line="276"/>
      </w:pPr>
      <w:r>
        <w:rPr>
          <w:rFonts w:ascii="Times New Roman" w:cs="Times New Roman" w:eastAsia="Times New Roman" w:hAnsi="Times New Roman"/>
          <w:sz w:val="24"/>
          <w:szCs w:val="24"/>
        </w:rPr>
        <w:t xml:space="preserve">Initial state: h₀ = 0.</w:t>
      </w:r>
    </w:p>
    <w:p>
      <w:pPr>
        <w:pStyle w:val="ListParagraph"/>
        <w:numPr>
          <w:ilvl w:val="0"/>
          <w:numId w:val="2"/>
        </w:numPr>
        <w:spacing w:after="80" w:line="276"/>
      </w:pPr>
      <w:r>
        <w:rPr>
          <w:rFonts w:ascii="Times New Roman" w:cs="Times New Roman" w:eastAsia="Times New Roman" w:hAnsi="Times New Roman"/>
          <w:sz w:val="24"/>
          <w:szCs w:val="24"/>
        </w:rPr>
        <w:t xml:space="preserve">500 successive updates, each δ = 0.08 (a fixed scalar simulating a typical small FFN output magnitude).</w:t>
      </w:r>
    </w:p>
    <w:p>
      <w:pPr>
        <w:pStyle w:val="ListParagraph"/>
        <w:numPr>
          <w:ilvl w:val="0"/>
          <w:numId w:val="2"/>
        </w:numPr>
        <w:spacing w:after="80" w:line="276"/>
      </w:pPr>
      <w:r>
        <w:rPr>
          <w:rFonts w:ascii="Times New Roman" w:cs="Times New Roman" w:eastAsia="Times New Roman" w:hAnsi="Times New Roman"/>
          <w:sz w:val="24"/>
          <w:szCs w:val="24"/>
        </w:rPr>
        <w:t xml:space="preserve">Linear baseline: h ← h + δ.</w:t>
      </w:r>
    </w:p>
    <w:p>
      <w:pPr>
        <w:pStyle w:val="ListParagraph"/>
        <w:numPr>
          <w:ilvl w:val="0"/>
          <w:numId w:val="2"/>
        </w:numPr>
        <w:spacing w:after="80" w:line="276"/>
      </w:pPr>
      <w:r>
        <w:rPr>
          <w:rFonts w:ascii="Times New Roman" w:cs="Times New Roman" w:eastAsia="Times New Roman" w:hAnsi="Times New Roman"/>
          <w:sz w:val="24"/>
          <w:szCs w:val="24"/>
        </w:rPr>
        <w:t xml:space="preserve">Hyperbolic: h ← tanh(artanh(h) + artanh(δ)) with clamping to (−1 + 10⁻⁷, 1 − 10⁻⁷).</w:t>
      </w:r>
    </w:p>
    <w:p>
      <w:pPr>
        <w:spacing w:after="0" w:before="80"/>
      </w:pPr>
    </w:p>
    <w:p>
      <w:pPr>
        <w:spacing w:after="160" w:line="276"/>
      </w:pPr>
      <w:r>
        <w:rPr>
          <w:rFonts w:ascii="Times New Roman" w:cs="Times New Roman" w:eastAsia="Times New Roman" w:hAnsi="Times New Roman"/>
          <w:sz w:val="24"/>
          <w:szCs w:val="24"/>
        </w:rPr>
        <w:t xml:space="preserve">Note that both updates are deterministic and parameter-free. This is not a training experiment; it demonstrates the algebraic consequence of using each composition rule on a fixed update schedule.</w:t>
      </w:r>
    </w:p>
    <w:p>
      <w:pPr>
        <w:pStyle w:val="Heading2"/>
        <w:spacing w:after="120" w:before="240"/>
      </w:pPr>
      <w:r>
        <w:rPr>
          <w:rFonts w:ascii="Times New Roman" w:cs="Times New Roman" w:eastAsia="Times New Roman" w:hAnsi="Times New Roman"/>
          <w:b/>
          <w:bCs/>
          <w:i/>
          <w:iCs/>
          <w:sz w:val="26"/>
          <w:szCs w:val="26"/>
        </w:rPr>
        <w:t xml:space="preserve">4.2  Results</w:t>
      </w:r>
    </w:p>
    <w:p>
      <w:pPr>
        <w:pStyle w:val="ListParagraph"/>
        <w:numPr>
          <w:ilvl w:val="0"/>
          <w:numId w:val="2"/>
        </w:numPr>
        <w:spacing w:after="80" w:line="276"/>
      </w:pPr>
      <w:r>
        <w:rPr>
          <w:rFonts w:ascii="Times New Roman" w:cs="Times New Roman" w:eastAsia="Times New Roman" w:hAnsi="Times New Roman"/>
          <w:sz w:val="24"/>
          <w:szCs w:val="24"/>
        </w:rPr>
        <w:t xml:space="preserve">Linear residuals exceed |u| = 1 after only 13 steps and reach h = +40.00 after 500 steps. In a 50-layer analog, max |h| exceeds 375.</w:t>
      </w:r>
    </w:p>
    <w:p>
      <w:pPr>
        <w:pStyle w:val="ListParagraph"/>
        <w:numPr>
          <w:ilvl w:val="0"/>
          <w:numId w:val="2"/>
        </w:numPr>
        <w:spacing w:after="80" w:line="276"/>
      </w:pPr>
      <w:r>
        <w:rPr>
          <w:rFonts w:ascii="Times New Roman" w:cs="Times New Roman" w:eastAsia="Times New Roman" w:hAnsi="Times New Roman"/>
          <w:sz w:val="24"/>
          <w:szCs w:val="24"/>
        </w:rPr>
        <w:t xml:space="preserve">Hyperbolic residuals remain strictly inside (−1, 1) at all steps, asymptotically approaching 1.0. This is guaranteed by the algebraic structure: if |h|, |δ| &lt; 1 then |h ⊕ δ| &lt; 1, by the closure axiom.</w:t>
      </w:r>
    </w:p>
    <w:p>
      <w:pPr>
        <w:spacing w:after="0" w:before="80"/>
      </w:pPr>
    </w:p>
    <w:p>
      <w:pPr>
        <w:spacing w:after="160" w:line="276"/>
      </w:pPr>
      <w:r>
        <w:rPr>
          <w:rFonts w:ascii="Times New Roman" w:cs="Times New Roman" w:eastAsia="Times New Roman" w:hAnsi="Times New Roman"/>
          <w:sz w:val="24"/>
          <w:szCs w:val="24"/>
        </w:rPr>
        <w:t xml:space="preserve">Figure 1 plots both trajectories. The linear divergence is not a failure of this particular δ or depth; it is the inevitable consequence of repeated linear addition on an unbounded domain. The hyperbolic result is not a coincidence; it is a theorem.</w:t>
      </w:r>
    </w:p>
    <w:p>
      <w:pPr>
        <w:spacing w:after="160" w:line="276"/>
      </w:pPr>
      <w:r>
        <w:rPr>
          <w:rFonts w:ascii="Times New Roman" w:cs="Times New Roman" w:eastAsia="Times New Roman" w:hAnsi="Times New Roman"/>
          <w:i/>
          <w:iCs/>
          <w:color w:val="555555"/>
          <w:sz w:val="24"/>
          <w:szCs w:val="24"/>
        </w:rPr>
        <w:t xml:space="preserve">[Figure 1: Linear vs Hyperbolic Residual Evolution. Linear diverges past ±1 after 13 steps; hyperbolic asymptotically approaches 1.0.]</w:t>
      </w:r>
    </w:p>
    <w:p>
      <w:pPr>
        <w:pStyle w:val="Heading2"/>
        <w:spacing w:after="120" w:before="240"/>
      </w:pPr>
      <w:r>
        <w:rPr>
          <w:rFonts w:ascii="Times New Roman" w:cs="Times New Roman" w:eastAsia="Times New Roman" w:hAnsi="Times New Roman"/>
          <w:b/>
          <w:bCs/>
          <w:i/>
          <w:iCs/>
          <w:sz w:val="26"/>
          <w:szCs w:val="26"/>
        </w:rPr>
        <w:t xml:space="preserve">4.3  What This Does and Does Not Show</w:t>
      </w:r>
    </w:p>
    <w:p>
      <w:pPr>
        <w:spacing w:after="160" w:line="276"/>
      </w:pPr>
      <w:r>
        <w:rPr>
          <w:rFonts w:ascii="Times New Roman" w:cs="Times New Roman" w:eastAsia="Times New Roman" w:hAnsi="Times New Roman"/>
          <w:sz w:val="24"/>
          <w:szCs w:val="24"/>
        </w:rPr>
        <w:t xml:space="preserve">This demonstration confirms that the mathematical property holds. It does not show that hyperbolic residuals improve task performance, training speed, or generalization over linear residuals with LayerNorm. Those are empirical questions that require trained networks evaluated on realistic benchmarks—experiments which we describe in Section 7 as future work.</w:t>
      </w:r>
    </w:p>
    <w:p>
      <w:pPr>
        <w:pStyle w:val="Heading1"/>
        <w:spacing w:after="160" w:before="360"/>
      </w:pPr>
      <w:r>
        <w:rPr>
          <w:rFonts w:ascii="Times New Roman" w:cs="Times New Roman" w:eastAsia="Times New Roman" w:hAnsi="Times New Roman"/>
          <w:b/>
          <w:bCs/>
          <w:sz w:val="28"/>
          <w:szCs w:val="28"/>
        </w:rPr>
        <w:t xml:space="preserve">5  Comparison to Standard Bounded Mechanisms</w:t>
      </w:r>
    </w:p>
    <w:p>
      <w:pPr>
        <w:spacing w:after="160" w:line="276"/>
      </w:pPr>
      <w:r>
        <w:rPr>
          <w:rFonts w:ascii="Times New Roman" w:cs="Times New Roman" w:eastAsia="Times New Roman" w:hAnsi="Times New Roman"/>
          <w:sz w:val="24"/>
          <w:szCs w:val="24"/>
        </w:rPr>
        <w:t xml:space="preserve">The natural objection to this work is: “LayerNorm already bounds activations—why go further?” This section provides a structured comparison.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C3E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Method</w:t>
            </w:r>
          </w:p>
        </w:tc>
        <w:tc>
          <w:tcPr>
            <w:tcW w:type="dxa" w:w="1872"/>
            <w:tcBorders>
              <w:top w:val="single" w:color="AAAAAA" w:sz="1"/>
              <w:left w:val="single" w:color="AAAAAA" w:sz="1"/>
              <w:bottom w:val="single" w:color="AAAAAA" w:sz="1"/>
              <w:right w:val="single" w:color="AAAAAA" w:sz="1"/>
            </w:tcBorders>
            <w:shd w:fill="2C3E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Boundedness</w:t>
            </w:r>
          </w:p>
        </w:tc>
        <w:tc>
          <w:tcPr>
            <w:tcW w:type="dxa" w:w="1872"/>
            <w:tcBorders>
              <w:top w:val="single" w:color="AAAAAA" w:sz="1"/>
              <w:left w:val="single" w:color="AAAAAA" w:sz="1"/>
              <w:bottom w:val="single" w:color="AAAAAA" w:sz="1"/>
              <w:right w:val="single" w:color="AAAAAA" w:sz="1"/>
            </w:tcBorders>
            <w:shd w:fill="2C3E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Algebraic structure</w:t>
            </w:r>
          </w:p>
        </w:tc>
        <w:tc>
          <w:tcPr>
            <w:tcW w:type="dxa" w:w="1872"/>
            <w:tcBorders>
              <w:top w:val="single" w:color="AAAAAA" w:sz="1"/>
              <w:left w:val="single" w:color="AAAAAA" w:sz="1"/>
              <w:bottom w:val="single" w:color="AAAAAA" w:sz="1"/>
              <w:right w:val="single" w:color="AAAAAA" w:sz="1"/>
            </w:tcBorders>
            <w:shd w:fill="2C3E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Extra parameters</w:t>
            </w:r>
          </w:p>
        </w:tc>
        <w:tc>
          <w:tcPr>
            <w:tcW w:type="dxa" w:w="1872"/>
            <w:tcBorders>
              <w:top w:val="single" w:color="AAAAAA" w:sz="1"/>
              <w:left w:val="single" w:color="AAAAAA" w:sz="1"/>
              <w:bottom w:val="single" w:color="AAAAAA" w:sz="1"/>
              <w:right w:val="single" w:color="AAAAAA" w:sz="1"/>
            </w:tcBorders>
            <w:shd w:fill="2C3E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Gradient behavior</w:t>
            </w:r>
          </w:p>
        </w:tc>
      </w:tr>
      <w:tr>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Linear residual</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Additive group on ℝ</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Can explode O(ρ^N)</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Linear + LayerNorm</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Soft (norm-1 sphere)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 per layer (γ, β)</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Well-behaved in practice</w:t>
            </w:r>
          </w:p>
        </w:tc>
      </w:tr>
      <w:tr>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Linear + tanh(δ)</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|δ| &lt; 1, h unbounded</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1872"/>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Times New Roman" w:cs="Times New Roman" w:eastAsia="Times New Roman" w:hAnsi="Times New Roman"/>
                <w:sz w:val="20"/>
                <w:szCs w:val="20"/>
              </w:rPr>
              <w:t xml:space="preserve">h still unbounded</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Hyperbolic residual</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Strict: h ∈ (−1,1)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Gyrogroup (Aczél)</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Telescopes (Lemma 1)</w:t>
            </w:r>
          </w:p>
        </w:tc>
      </w:tr>
    </w:tbl>
    <w:p>
      <w:pPr>
        <w:spacing w:after="0" w:before="160"/>
      </w:pPr>
    </w:p>
    <w:p>
      <w:pPr>
        <w:spacing w:after="160" w:line="276"/>
      </w:pPr>
      <w:r>
        <w:rPr>
          <w:rFonts w:ascii="Times New Roman" w:cs="Times New Roman" w:eastAsia="Times New Roman" w:hAnsi="Times New Roman"/>
          <w:sz w:val="24"/>
          <w:szCs w:val="24"/>
        </w:rPr>
        <w:t xml:space="preserve">Several distinctions are worth emphasizing. First, LayerNorm maps activations to a unit-norm sphere in ℝ^d, which is a qualitatively different constraint from pointwise boundedness in (−1, 1). Sphere normalization does not prevent individual coordinates from being large; it constrains the vector norm. Second, LayerNorm introduces two learned parameters per layer (γ and β), while the hyperbolic residual requires none. Third, and most fundamentally, LayerNorm does not provide the algebraic closure property: the composition of two LayerNorm-bounded vectors is not guaranteed to be LayerNorm-bounded. The hyperbolic law is closed by construction.</w:t>
      </w:r>
    </w:p>
    <w:p>
      <w:pPr>
        <w:spacing w:after="160" w:line="276"/>
      </w:pPr>
      <w:r>
        <w:rPr>
          <w:rFonts w:ascii="Times New Roman" w:cs="Times New Roman" w:eastAsia="Times New Roman" w:hAnsi="Times New Roman"/>
          <w:sz w:val="24"/>
          <w:szCs w:val="24"/>
        </w:rPr>
        <w:t xml:space="preserve">We do not claim that hyperbolic residuals are a replacement for LayerNorm in all settings. In practice, trained networks with LayerNorm achieve strong empirical performance, and future work should determine whether the geometric guarantees of the hyperbolic residual translate into measurable improvements. The claim of this paper is more modest: that the hyperbolic law is the </w:t>
      </w:r>
      <w:r>
        <w:rPr>
          <w:rFonts w:ascii="Times New Roman" w:cs="Times New Roman" w:eastAsia="Times New Roman" w:hAnsi="Times New Roman"/>
          <w:i/>
          <w:iCs/>
          <w:sz w:val="24"/>
          <w:szCs w:val="24"/>
        </w:rPr>
        <w:t xml:space="preserve">principled</w:t>
      </w:r>
      <w:r>
        <w:rPr>
          <w:rFonts w:ascii="Times New Roman" w:cs="Times New Roman" w:eastAsia="Times New Roman" w:hAnsi="Times New Roman"/>
          <w:sz w:val="24"/>
          <w:szCs w:val="24"/>
        </w:rPr>
        <w:t xml:space="preserve"> choice when boundedness and associativity are simultaneous requirements, and that it achieves these goals without auxiliary parameters.</w:t>
      </w:r>
    </w:p>
    <w:p>
      <w:pPr>
        <w:pStyle w:val="Heading1"/>
        <w:spacing w:after="160" w:before="360"/>
      </w:pPr>
      <w:r>
        <w:rPr>
          <w:rFonts w:ascii="Times New Roman" w:cs="Times New Roman" w:eastAsia="Times New Roman" w:hAnsi="Times New Roman"/>
          <w:b/>
          <w:bCs/>
          <w:sz w:val="28"/>
          <w:szCs w:val="28"/>
        </w:rPr>
        <w:t xml:space="preserve">6  Application to JEPA and Transformers</w:t>
      </w:r>
    </w:p>
    <w:p>
      <w:pPr>
        <w:spacing w:after="160" w:line="276"/>
      </w:pPr>
      <w:r>
        <w:rPr>
          <w:rFonts w:ascii="Times New Roman" w:cs="Times New Roman" w:eastAsia="Times New Roman" w:hAnsi="Times New Roman"/>
          <w:sz w:val="24"/>
          <w:szCs w:val="24"/>
        </w:rPr>
        <w:t xml:space="preserve">In JEPA-style predictive models [6], the architecture maintains a sequence of world-model state embeddings and updates them as new observations arrive. If those embeddings are required to stay within a causal horizon (a bounded latent space representing achievable world states), then the composition of successive updates should be closed on that bounded domain.</w:t>
      </w:r>
    </w:p>
    <w:p>
      <w:pPr>
        <w:spacing w:after="160" w:line="276"/>
      </w:pPr>
      <w:r>
        <w:rPr>
          <w:rFonts w:ascii="Times New Roman" w:cs="Times New Roman" w:eastAsia="Times New Roman" w:hAnsi="Times New Roman"/>
          <w:sz w:val="24"/>
          <w:szCs w:val="24"/>
        </w:rPr>
        <w:t xml:space="preserve">The hyperbolic residual integrates naturally into such architectures. Self-attention and feedforward layers can operate in the standard Euclidean tangent space (artanh-transformed coordinates, which we call Rapidity Space) and the final update is projected back via tanh. More concretely:</w:t>
      </w:r>
    </w:p>
    <w:p>
      <w:pPr>
        <w:pStyle w:val="ListParagraph"/>
        <w:numPr>
          <w:ilvl w:val="0"/>
          <w:numId w:val="2"/>
        </w:numPr>
        <w:spacing w:after="80" w:line="276"/>
      </w:pPr>
      <w:r>
        <w:rPr>
          <w:rFonts w:ascii="Times New Roman" w:cs="Times New Roman" w:eastAsia="Times New Roman" w:hAnsi="Times New Roman"/>
          <w:sz w:val="24"/>
          <w:szCs w:val="24"/>
        </w:rPr>
        <w:t xml:space="preserve">Map the current state h into rapidity space: r = artanh(h).</w:t>
      </w:r>
    </w:p>
    <w:p>
      <w:pPr>
        <w:pStyle w:val="ListParagraph"/>
        <w:numPr>
          <w:ilvl w:val="0"/>
          <w:numId w:val="2"/>
        </w:numPr>
        <w:spacing w:after="80" w:line="276"/>
      </w:pPr>
      <w:r>
        <w:rPr>
          <w:rFonts w:ascii="Times New Roman" w:cs="Times New Roman" w:eastAsia="Times New Roman" w:hAnsi="Times New Roman"/>
          <w:sz w:val="24"/>
          <w:szCs w:val="24"/>
        </w:rPr>
        <w:t xml:space="preserve">Compute the attention/FFN output δ in Rapidity Space or apply tanh to project it: δʹ = tanh(δ).</w:t>
      </w:r>
    </w:p>
    <w:p>
      <w:pPr>
        <w:pStyle w:val="ListParagraph"/>
        <w:numPr>
          <w:ilvl w:val="0"/>
          <w:numId w:val="2"/>
        </w:numPr>
        <w:spacing w:after="80" w:line="276"/>
      </w:pPr>
      <w:r>
        <w:rPr>
          <w:rFonts w:ascii="Times New Roman" w:cs="Times New Roman" w:eastAsia="Times New Roman" w:hAnsi="Times New Roman"/>
          <w:sz w:val="24"/>
          <w:szCs w:val="24"/>
        </w:rPr>
        <w:t xml:space="preserve">Apply the hyperbolic residual: h′ = tanh(artanh(h) + artanh(δʹ)).</w:t>
      </w:r>
    </w:p>
    <w:p>
      <w:pPr>
        <w:spacing w:after="0" w:before="80"/>
      </w:pPr>
    </w:p>
    <w:p>
      <w:pPr>
        <w:spacing w:after="160" w:line="276"/>
      </w:pPr>
      <w:r>
        <w:rPr>
          <w:rFonts w:ascii="Times New Roman" w:cs="Times New Roman" w:eastAsia="Times New Roman" w:hAnsi="Times New Roman"/>
          <w:sz w:val="24"/>
          <w:szCs w:val="24"/>
        </w:rPr>
        <w:t xml:space="preserve">The PyTorch implementation requires two lines:</w:t>
      </w:r>
    </w:p>
    <w:p>
      <w:pPr>
        <w:shd w:fill="F5F5F5" w:val="clear"/>
        <w:spacing w:after="0" w:before="120" w:line="240"/>
        <w:ind w:left="480"/>
      </w:pPr>
      <w:r>
        <w:rPr>
          <w:rFonts w:ascii="Courier New" w:cs="Courier New" w:eastAsia="Courier New" w:hAnsi="Courier New"/>
          <w:sz w:val="20"/>
          <w:szCs w:val="20"/>
        </w:rPr>
        <w:t xml:space="preserve">import torch</w:t>
      </w:r>
    </w:p>
    <w:p>
      <w:pPr>
        <w:shd w:fill="F5F5F5" w:val="clear"/>
        <w:spacing w:after="0" w:before="0" w:line="240"/>
        <w:ind w:left="480"/>
      </w:pPr>
      <w:r>
        <w:rPr>
          <w:rFonts w:ascii="Courier New" w:cs="Courier New" w:eastAsia="Courier New" w:hAnsi="Courier New"/>
          <w:sz w:val="20"/>
          <w:szCs w:val="20"/>
        </w:rPr>
        <w:t xml:space="preserve"/>
      </w:r>
    </w:p>
    <w:p>
      <w:pPr>
        <w:shd w:fill="F5F5F5" w:val="clear"/>
        <w:spacing w:after="0" w:before="0" w:line="240"/>
        <w:ind w:left="480"/>
      </w:pPr>
      <w:r>
        <w:rPr>
          <w:rFonts w:ascii="Courier New" w:cs="Courier New" w:eastAsia="Courier New" w:hAnsi="Courier New"/>
          <w:sz w:val="20"/>
          <w:szCs w:val="20"/>
        </w:rPr>
        <w:t xml:space="preserve">def hyperbolic_residual(x, delta, eps=1e-7):</w:t>
      </w:r>
    </w:p>
    <w:p>
      <w:pPr>
        <w:shd w:fill="F5F5F5" w:val="clear"/>
        <w:spacing w:after="0" w:before="0" w:line="240"/>
        <w:ind w:left="480"/>
      </w:pPr>
      <w:r>
        <w:rPr>
          <w:rFonts w:ascii="Courier New" w:cs="Courier New" w:eastAsia="Courier New" w:hAnsi="Courier New"/>
          <w:sz w:val="20"/>
          <w:szCs w:val="20"/>
        </w:rPr>
        <w:t xml:space="preserve">    x     = torch.clamp(x,     -1 + eps, 1 - eps)</w:t>
      </w:r>
    </w:p>
    <w:p>
      <w:pPr>
        <w:shd w:fill="F5F5F5" w:val="clear"/>
        <w:spacing w:after="0" w:before="0" w:line="240"/>
        <w:ind w:left="480"/>
      </w:pPr>
      <w:r>
        <w:rPr>
          <w:rFonts w:ascii="Courier New" w:cs="Courier New" w:eastAsia="Courier New" w:hAnsi="Courier New"/>
          <w:sz w:val="20"/>
          <w:szCs w:val="20"/>
        </w:rPr>
        <w:t xml:space="preserve">    delta = torch.clamp(delta, -1 + eps, 1 - eps)</w:t>
      </w:r>
    </w:p>
    <w:p>
      <w:pPr>
        <w:shd w:fill="F5F5F5" w:val="clear"/>
        <w:spacing w:after="0" w:before="0" w:line="240"/>
        <w:ind w:left="480"/>
      </w:pPr>
      <w:r>
        <w:rPr>
          <w:rFonts w:ascii="Courier New" w:cs="Courier New" w:eastAsia="Courier New" w:hAnsi="Courier New"/>
          <w:sz w:val="20"/>
          <w:szCs w:val="20"/>
        </w:rPr>
        <w:t xml:space="preserve">    return torch.tanh(torch.atanh(x) + torch.atanh(delta))</w:t>
      </w:r>
    </w:p>
    <w:p>
      <w:pPr>
        <w:shd w:fill="F5F5F5" w:val="clear"/>
        <w:spacing w:after="0" w:before="0" w:line="240"/>
        <w:ind w:left="480"/>
      </w:pPr>
      <w:r>
        <w:rPr>
          <w:rFonts w:ascii="Courier New" w:cs="Courier New" w:eastAsia="Courier New" w:hAnsi="Courier New"/>
          <w:sz w:val="20"/>
          <w:szCs w:val="20"/>
        </w:rPr>
        <w:t xml:space="preserve"/>
      </w:r>
    </w:p>
    <w:p>
      <w:pPr>
        <w:shd w:fill="F5F5F5" w:val="clear"/>
        <w:spacing w:after="0" w:before="0" w:line="240"/>
        <w:ind w:left="480"/>
      </w:pPr>
      <w:r>
        <w:rPr>
          <w:rFonts w:ascii="Courier New" w:cs="Courier New" w:eastAsia="Courier New" w:hAnsi="Courier New"/>
          <w:sz w:val="20"/>
          <w:szCs w:val="20"/>
        </w:rPr>
        <w:t xml:space="preserve"># In a Transformer/JEPA block:</w:t>
      </w:r>
    </w:p>
    <w:p>
      <w:pPr>
        <w:shd w:fill="F5F5F5" w:val="clear"/>
        <w:spacing w:after="0" w:before="0" w:line="240"/>
        <w:ind w:left="480"/>
      </w:pPr>
      <w:r>
        <w:rPr>
          <w:rFonts w:ascii="Courier New" w:cs="Courier New" w:eastAsia="Courier New" w:hAnsi="Courier New"/>
          <w:sz w:val="20"/>
          <w:szCs w:val="20"/>
        </w:rPr>
        <w:t xml:space="preserve"># delta = torch.tanh(attn_output + ffn_output)  # project into (-1,1)</w:t>
      </w:r>
    </w:p>
    <w:p>
      <w:pPr>
        <w:shd w:fill="F5F5F5" w:val="clear"/>
        <w:spacing w:after="120" w:before="0" w:line="240"/>
        <w:ind w:left="480"/>
      </w:pPr>
      <w:r>
        <w:rPr>
          <w:rFonts w:ascii="Courier New" w:cs="Courier New" w:eastAsia="Courier New" w:hAnsi="Courier New"/>
          <w:sz w:val="20"/>
          <w:szCs w:val="20"/>
        </w:rPr>
        <w:t xml:space="preserve"># hidden = hyperbolic_residual(hidden, delta)</w:t>
      </w:r>
    </w:p>
    <w:p>
      <w:pPr>
        <w:spacing w:after="0" w:before="80"/>
      </w:pPr>
    </w:p>
    <w:p>
      <w:pPr>
        <w:spacing w:after="160" w:line="276"/>
      </w:pPr>
      <w:r>
        <w:rPr>
          <w:rFonts w:ascii="Times New Roman" w:cs="Times New Roman" w:eastAsia="Times New Roman" w:hAnsi="Times New Roman"/>
          <w:sz w:val="24"/>
          <w:szCs w:val="24"/>
        </w:rPr>
        <w:t xml:space="preserve">The gradient of a single hyperbolic residual step is ∂/∂x tanh(artanh(x) + c) = (1 − tanh(·)²) / (1 − x²), which is finite and positive for |x| &lt; 1. For a deep stack, Lemma 1 shows the full depth-</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Jacobian telescopes to a single ratio, avoiding exponential depth dependence.</w:t>
      </w:r>
    </w:p>
    <w:p>
      <w:pPr>
        <w:spacing w:after="160" w:line="276"/>
      </w:pPr>
      <w:r>
        <w:rPr>
          <w:rFonts w:ascii="Times New Roman" w:cs="Times New Roman" w:eastAsia="Times New Roman" w:hAnsi="Times New Roman"/>
          <w:sz w:val="24"/>
          <w:szCs w:val="24"/>
        </w:rPr>
        <w:t xml:space="preserve">The computational overhead relative to a linear residual is two artanh calls and one tanh call per layer, which is negligible compared to the matrix multiplications in the attention and feedforward blocks.</w:t>
      </w:r>
    </w:p>
    <w:p>
      <w:pPr>
        <w:pStyle w:val="Heading1"/>
        <w:spacing w:after="160" w:before="360"/>
      </w:pPr>
      <w:r>
        <w:rPr>
          <w:rFonts w:ascii="Times New Roman" w:cs="Times New Roman" w:eastAsia="Times New Roman" w:hAnsi="Times New Roman"/>
          <w:b/>
          <w:bCs/>
          <w:sz w:val="28"/>
          <w:szCs w:val="28"/>
        </w:rPr>
        <w:t xml:space="preserve">7  Future Work</w:t>
      </w:r>
    </w:p>
    <w:p>
      <w:pPr>
        <w:spacing w:after="160" w:line="276"/>
      </w:pPr>
      <w:r>
        <w:rPr>
          <w:rFonts w:ascii="Times New Roman" w:cs="Times New Roman" w:eastAsia="Times New Roman" w:hAnsi="Times New Roman"/>
          <w:sz w:val="24"/>
          <w:szCs w:val="24"/>
        </w:rPr>
        <w:t xml:space="preserve">This paper establishes the theoretical foundations and provides a mathematical proof of concept. The following experiments are the natural next steps and are deferred to future work:</w:t>
      </w:r>
    </w:p>
    <w:p>
      <w:pPr>
        <w:pStyle w:val="ListParagraph"/>
        <w:numPr>
          <w:ilvl w:val="0"/>
          <w:numId w:val="2"/>
        </w:numPr>
        <w:spacing w:after="80" w:line="276"/>
      </w:pPr>
      <w:r>
        <w:rPr>
          <w:rFonts w:ascii="Times New Roman" w:cs="Times New Roman" w:eastAsia="Times New Roman" w:hAnsi="Times New Roman"/>
          <w:b/>
          <w:bCs/>
          <w:sz w:val="24"/>
          <w:szCs w:val="24"/>
        </w:rPr>
        <w:t xml:space="preserve">Trained residual networks. </w:t>
      </w:r>
      <w:r>
        <w:rPr>
          <w:rFonts w:ascii="Times New Roman" w:cs="Times New Roman" w:eastAsia="Times New Roman" w:hAnsi="Times New Roman"/>
          <w:sz w:val="24"/>
          <w:szCs w:val="24"/>
        </w:rPr>
        <w:t xml:space="preserve">A 20-layer residual MLP trained on a dynamical system prediction task (e.g., x_{t+1} = tanh(Wx_t) with learned W) should compare hyperbolic residuals against linear residuals with and without LayerNorm, across multiple random seeds, reporting final MSE, activation range per layer, and gradient norm stability.</w:t>
      </w:r>
    </w:p>
    <w:p>
      <w:pPr>
        <w:pStyle w:val="ListParagraph"/>
        <w:numPr>
          <w:ilvl w:val="0"/>
          <w:numId w:val="2"/>
        </w:numPr>
        <w:spacing w:after="80" w:line="276"/>
      </w:pPr>
      <w:r>
        <w:rPr>
          <w:rFonts w:ascii="Times New Roman" w:cs="Times New Roman" w:eastAsia="Times New Roman" w:hAnsi="Times New Roman"/>
          <w:b/>
          <w:bCs/>
          <w:sz w:val="24"/>
          <w:szCs w:val="24"/>
        </w:rPr>
        <w:t xml:space="preserve">Small JEPA benchmark. </w:t>
      </w:r>
      <w:r>
        <w:rPr>
          <w:rFonts w:ascii="Times New Roman" w:cs="Times New Roman" w:eastAsia="Times New Roman" w:hAnsi="Times New Roman"/>
          <w:sz w:val="24"/>
          <w:szCs w:val="24"/>
        </w:rPr>
        <w:t xml:space="preserve">A causal prediction task on a simple physics engine or frame-prediction task, comparing prediction MSE over horizon and activation drift across layers.</w:t>
      </w:r>
    </w:p>
    <w:p>
      <w:pPr>
        <w:pStyle w:val="ListParagraph"/>
        <w:numPr>
          <w:ilvl w:val="0"/>
          <w:numId w:val="2"/>
        </w:numPr>
        <w:spacing w:after="80" w:line="276"/>
      </w:pPr>
      <w:r>
        <w:rPr>
          <w:rFonts w:ascii="Times New Roman" w:cs="Times New Roman" w:eastAsia="Times New Roman" w:hAnsi="Times New Roman"/>
          <w:b/>
          <w:bCs/>
          <w:sz w:val="24"/>
          <w:szCs w:val="24"/>
        </w:rPr>
        <w:t xml:space="preserve">Interaction with learned deltas. </w:t>
      </w:r>
      <w:r>
        <w:rPr>
          <w:rFonts w:ascii="Times New Roman" w:cs="Times New Roman" w:eastAsia="Times New Roman" w:hAnsi="Times New Roman"/>
          <w:sz w:val="24"/>
          <w:szCs w:val="24"/>
        </w:rPr>
        <w:t xml:space="preserve">When δ is the output of a learned network, the saturation behavior near ±1 may differ from the fixed-delta analysis; this should be characterized empirically.</w:t>
      </w:r>
    </w:p>
    <w:p>
      <w:pPr>
        <w:pStyle w:val="ListParagraph"/>
        <w:numPr>
          <w:ilvl w:val="0"/>
          <w:numId w:val="2"/>
        </w:numPr>
        <w:spacing w:after="80" w:line="276"/>
      </w:pPr>
      <w:r>
        <w:rPr>
          <w:rFonts w:ascii="Times New Roman" w:cs="Times New Roman" w:eastAsia="Times New Roman" w:hAnsi="Times New Roman"/>
          <w:b/>
          <w:bCs/>
          <w:sz w:val="24"/>
          <w:szCs w:val="24"/>
        </w:rPr>
        <w:t xml:space="preserve">Higher-dimensional generalizations. </w:t>
      </w:r>
      <w:r>
        <w:rPr>
          <w:rFonts w:ascii="Times New Roman" w:cs="Times New Roman" w:eastAsia="Times New Roman" w:hAnsi="Times New Roman"/>
          <w:sz w:val="24"/>
          <w:szCs w:val="24"/>
        </w:rPr>
        <w:t xml:space="preserve">The scalar analysis extends naturally to the Poincaré ball in ℝ^d via the Möbius addition formula for hyperbolic neural networks [4, 5]; the connection between the one-dimensional axioms here and the multi-dimensional gyrovector framework should be formalized.</w:t>
      </w:r>
    </w:p>
    <w:p>
      <w:pPr>
        <w:pStyle w:val="Heading1"/>
        <w:spacing w:after="160" w:before="360"/>
      </w:pPr>
      <w:r>
        <w:rPr>
          <w:rFonts w:ascii="Times New Roman" w:cs="Times New Roman" w:eastAsia="Times New Roman" w:hAnsi="Times New Roman"/>
          <w:b/>
          <w:bCs/>
          <w:sz w:val="28"/>
          <w:szCs w:val="28"/>
        </w:rPr>
        <w:t xml:space="preserve">8  Conclusion</w:t>
      </w:r>
    </w:p>
    <w:p>
      <w:pPr>
        <w:spacing w:after="160" w:line="276"/>
      </w:pPr>
      <w:r>
        <w:rPr>
          <w:rFonts w:ascii="Times New Roman" w:cs="Times New Roman" w:eastAsia="Times New Roman" w:hAnsi="Times New Roman"/>
          <w:sz w:val="24"/>
          <w:szCs w:val="24"/>
        </w:rPr>
        <w:t xml:space="preserve">Linear residuals are a convenient but algebraically unprincipled default for bounded causal reasoning. Starting from four minimal axioms—closure, associativity, continuity, and oddness—and applying Aczél’s representation theorem, we show that the natural generator for bounded composition on (</w:t>
      </w:r>
      <w:r>
        <w:rPr>
          <w:rFonts w:ascii="Times New Roman" w:cs="Times New Roman" w:eastAsia="Times New Roman" w:hAnsi="Times New Roman"/>
          <w:i/>
          <w:iCs/>
          <w:sz w:val="24"/>
          <w:szCs w:val="24"/>
        </w:rPr>
        <w:t xml:space="preserve">−1, 1</w:t>
      </w:r>
      <w:r>
        <w:rPr>
          <w:rFonts w:ascii="Times New Roman" w:cs="Times New Roman" w:eastAsia="Times New Roman" w:hAnsi="Times New Roman"/>
          <w:sz w:val="24"/>
          <w:szCs w:val="24"/>
        </w:rPr>
        <w:t xml:space="preserve">) is artanh, yielding the Möbius addition law. A fifth normalization axiom makes this choice unique within the family of odd generators. The resulting hyperbolic residual connection guarantees strict boundedness by construction, satisfies a telescoping gradient identity that avoids exponential depth dependence in principle, and requires no auxiliary parameters.</w:t>
      </w:r>
    </w:p>
    <w:p>
      <w:pPr>
        <w:spacing w:after="160" w:line="276"/>
      </w:pPr>
      <w:r>
        <w:rPr>
          <w:rFonts w:ascii="Times New Roman" w:cs="Times New Roman" w:eastAsia="Times New Roman" w:hAnsi="Times New Roman"/>
          <w:sz w:val="24"/>
          <w:szCs w:val="24"/>
        </w:rPr>
        <w:t xml:space="preserve">A mathematical demonstration confirms the boundedness guarantee concretely. Comparison with LayerNorm and tanh-gating reveals that the hyperbolic residual achieves a qualitatively stronger algebraic guarantee—closed under composition—that normalization layers do not provide. Whether this translates to measurable empirical improvements on realistic tasks remains an open question and the primary direction for future work.</w:t>
      </w:r>
    </w:p>
    <w:p>
      <w:pPr>
        <w:spacing w:after="160" w:line="276"/>
      </w:pPr>
      <w:r>
        <w:rPr>
          <w:rFonts w:ascii="Times New Roman" w:cs="Times New Roman" w:eastAsia="Times New Roman" w:hAnsi="Times New Roman"/>
          <w:sz w:val="24"/>
          <w:szCs w:val="24"/>
        </w:rPr>
        <w:t xml:space="preserve">Code for the demonstration and a minimal implementation are available at: </w:t>
      </w:r>
      <w:r>
        <w:rPr>
          <w:rFonts w:ascii="Times New Roman" w:cs="Times New Roman" w:eastAsia="Times New Roman" w:hAnsi="Times New Roman"/>
          <w:i/>
          <w:iCs/>
          <w:color w:val="555555"/>
          <w:sz w:val="24"/>
          <w:szCs w:val="24"/>
        </w:rPr>
        <w:t xml:space="preserve">[repository URL to be added upon publication]</w:t>
      </w:r>
      <w:r>
        <w:rPr>
          <w:rFonts w:ascii="Times New Roman" w:cs="Times New Roman" w:eastAsia="Times New Roman" w:hAnsi="Times New Roman"/>
          <w:sz w:val="24"/>
          <w:szCs w:val="24"/>
        </w:rPr>
        <w:t xml:space="preserve">.</w:t>
      </w:r>
    </w:p>
    <w:p>
      <w:pPr>
        <w:pStyle w:val="Heading1"/>
        <w:spacing w:after="160" w:before="360"/>
      </w:pPr>
      <w:r>
        <w:rPr>
          <w:rFonts w:ascii="Times New Roman" w:cs="Times New Roman" w:eastAsia="Times New Roman" w:hAnsi="Times New Roman"/>
          <w:b/>
          <w:bCs/>
          <w:sz w:val="28"/>
          <w:szCs w:val="28"/>
        </w:rPr>
        <w:t xml:space="preserve">References</w:t>
      </w:r>
    </w:p>
    <w:p>
      <w:pPr>
        <w:spacing w:after="160"/>
        <w:ind w:left="480" w:hanging="480"/>
      </w:pPr>
      <w:r>
        <w:rPr>
          <w:rFonts w:ascii="Times New Roman" w:cs="Times New Roman" w:eastAsia="Times New Roman" w:hAnsi="Times New Roman"/>
          <w:sz w:val="22"/>
          <w:szCs w:val="22"/>
        </w:rPr>
        <w:t xml:space="preserve">[1] Aczél, J. (1966). Lectures on Functional Equations and Their Applications. Academic Press, New York. (Original result: Aczél, J. (1949). Sur les opérations définies pour des nombres réels. Bulletin de la Société Mathématique de France, 76, 59–64.)</w:t>
      </w:r>
    </w:p>
    <w:p>
      <w:pPr>
        <w:spacing w:after="160"/>
        <w:ind w:left="480" w:hanging="480"/>
      </w:pPr>
      <w:r>
        <w:rPr>
          <w:rFonts w:ascii="Times New Roman" w:cs="Times New Roman" w:eastAsia="Times New Roman" w:hAnsi="Times New Roman"/>
          <w:sz w:val="22"/>
          <w:szCs w:val="22"/>
        </w:rPr>
        <w:t xml:space="preserve">[2] Ungar, A. A. (2008). Analytic Hyperbolic Geometry and Albert Einstein's Special Theory of Relativity. World Scientific, Singapore.</w:t>
      </w:r>
    </w:p>
    <w:p>
      <w:pPr>
        <w:spacing w:after="160"/>
        <w:ind w:left="480" w:hanging="480"/>
      </w:pPr>
      <w:r>
        <w:rPr>
          <w:rFonts w:ascii="Times New Roman" w:cs="Times New Roman" w:eastAsia="Times New Roman" w:hAnsi="Times New Roman"/>
          <w:sz w:val="22"/>
          <w:szCs w:val="22"/>
        </w:rPr>
        <w:t xml:space="preserve">[3] Ungar, A. A. (2005). Analytic hyperbolic geometry: Mathematical foundations and applications. World Scientific.</w:t>
      </w:r>
    </w:p>
    <w:p>
      <w:pPr>
        <w:spacing w:after="160"/>
        <w:ind w:left="480" w:hanging="480"/>
      </w:pPr>
      <w:r>
        <w:rPr>
          <w:rFonts w:ascii="Times New Roman" w:cs="Times New Roman" w:eastAsia="Times New Roman" w:hAnsi="Times New Roman"/>
          <w:sz w:val="22"/>
          <w:szCs w:val="22"/>
        </w:rPr>
        <w:t xml:space="preserve">[4] Ganea, O. E., Bécigneul, G., &amp; Hofmann, T. (2018). Hyperbolic neural networks. Advances in Neural Information Processing Systems, 31.</w:t>
      </w:r>
    </w:p>
    <w:p>
      <w:pPr>
        <w:spacing w:after="160"/>
        <w:ind w:left="480" w:hanging="480"/>
      </w:pPr>
      <w:r>
        <w:rPr>
          <w:rFonts w:ascii="Times New Roman" w:cs="Times New Roman" w:eastAsia="Times New Roman" w:hAnsi="Times New Roman"/>
          <w:sz w:val="22"/>
          <w:szCs w:val="22"/>
        </w:rPr>
        <w:t xml:space="preserve">[5] Shimizu, R., Mukuta, Y., &amp; Harada, T. (2021). Hyperbolic neural networks++. International Conference on Learning Representations (ICLR).</w:t>
      </w:r>
    </w:p>
    <w:p>
      <w:pPr>
        <w:spacing w:after="160"/>
        <w:ind w:left="480" w:hanging="480"/>
      </w:pPr>
      <w:r>
        <w:rPr>
          <w:rFonts w:ascii="Times New Roman" w:cs="Times New Roman" w:eastAsia="Times New Roman" w:hAnsi="Times New Roman"/>
          <w:sz w:val="22"/>
          <w:szCs w:val="22"/>
        </w:rPr>
        <w:t xml:space="preserve">[6] Nickel, M., &amp; Kiela, D. (2017). Poincaré embeddings for learning hierarchical representations. Advances in Neural Information Processing Systems, 30.</w:t>
      </w:r>
    </w:p>
    <w:p>
      <w:pPr>
        <w:spacing w:after="160"/>
        <w:ind w:left="480" w:hanging="480"/>
      </w:pPr>
      <w:r>
        <w:rPr>
          <w:rFonts w:ascii="Times New Roman" w:cs="Times New Roman" w:eastAsia="Times New Roman" w:hAnsi="Times New Roman"/>
          <w:sz w:val="22"/>
          <w:szCs w:val="22"/>
        </w:rPr>
        <w:t xml:space="preserve">[7] LeCun, Y. (2022). A path towards autonomous machine intelligence. OpenReview preprint. (For the JEPA architecture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Hyperbolic Residual Composition — Murray  |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A4A" w:sz="2" w:space="4"/>
      </w:pBdr>
      <w:spacing w:after="160" w:before="360"/>
      <w:outlineLvl w:val="0"/>
    </w:pPr>
    <w:rPr>
      <w:rFonts w:ascii="Times New Roman" w:cs="Times New Roman" w:eastAsia="Times New Roman" w:hAnsi="Times New Roman"/>
      <w:b/>
      <w:bCs/>
      <w:color w:val="1A2A4A"/>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2026-05-03T00:18:50.886Z</dcterms:created>
  <dcterms:modified xsi:type="dcterms:W3CDTF">2026-05-03T00:18:50.888Z</dcterms:modified>
</cp:coreProperties>
</file>

<file path=docProps/custom.xml><?xml version="1.0" encoding="utf-8"?>
<Properties xmlns="http://schemas.openxmlformats.org/officeDocument/2006/custom-properties" xmlns:vt="http://schemas.openxmlformats.org/officeDocument/2006/docPropsVTypes"/>
</file>