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4"/>
        </w:rPr>
        <w:t>AI IMPLEMENTATION ROADMAP</w:t>
      </w:r>
    </w:p>
    <w:p>
      <w:pPr>
        <w:jc w:val="center"/>
      </w:pPr>
      <w:r>
        <w:rPr>
          <w:b/>
          <w:sz w:val="40"/>
        </w:rPr>
        <w:t>SupplySense AI</w:t>
      </w:r>
    </w:p>
    <w:p>
      <w:pPr>
        <w:jc w:val="center"/>
      </w:pPr>
      <w:r>
        <w:rPr>
          <w:i/>
        </w:rPr>
        <w:t>From Concept to Responsible Deployment</w:t>
      </w:r>
    </w:p>
    <w:p/>
    <w:p>
      <w:pPr>
        <w:jc w:val="center"/>
      </w:pPr>
      <w:r>
        <w:rPr>
          <w:b/>
        </w:rPr>
        <w:t>Final Week Project Report</w:t>
      </w:r>
    </w:p>
    <w:p>
      <w:pPr>
        <w:jc w:val="center"/>
      </w:pPr>
      <w:r>
        <w:t>AI Innovation Strategy, Use Case and Model Design Integration</w:t>
      </w:r>
    </w:p>
    <w:p>
      <w:r>
        <w:br w:type="page"/>
      </w:r>
    </w:p>
    <w:p>
      <w:pPr>
        <w:pStyle w:val="Heading1"/>
      </w:pPr>
      <w:r>
        <w:t>1. Executive Summary</w:t>
      </w:r>
    </w:p>
    <w:p>
      <w:r>
        <w:t>SupplySense AI is an AI-powered decision-support platform designed for small and medium-sized businesses that need better visibility into demand, inventory and supplier risk. The solution combines historical sales data, inventory information, supplier performance, lead times and business context to produce demand forecasts, disruption-risk signals and recommended actions. The final implementation is planned as a human-in-the-loop system: AI provides predictions and recommendations while authorized business users retain control over important decisions.</w:t>
      </w:r>
    </w:p>
    <w:p>
      <w:r>
        <w:t>This roadmap translates the previous strategic concept and model-design work into an actionable implementation plan. It covers requirements, data preparation, model development, prototype creation, integration, testing, pilot deployment, production rollout and continuous monitoring. It also addresses privacy, fairness, transparency, security, regulatory awareness and operational risks so that technical performance is balanced with responsible AI practices.</w:t>
      </w:r>
    </w:p>
    <w:p>
      <w:pPr>
        <w:pStyle w:val="Heading1"/>
      </w:pPr>
      <w:r>
        <w:t>2. Project Objectives and Scope</w:t>
      </w:r>
    </w:p>
    <w:p>
      <w:pPr>
        <w:pStyle w:val="ListBullet"/>
        <w:spacing w:after="40"/>
      </w:pPr>
      <w:r>
        <w:t>Forecast product demand using historical and contextual business data.</w:t>
      </w:r>
    </w:p>
    <w:p>
      <w:pPr>
        <w:pStyle w:val="ListBullet"/>
        <w:spacing w:after="40"/>
      </w:pPr>
      <w:r>
        <w:t>Identify potential inventory shortages, excess inventory and supply disruption risks.</w:t>
      </w:r>
    </w:p>
    <w:p>
      <w:pPr>
        <w:pStyle w:val="ListBullet"/>
        <w:spacing w:after="40"/>
      </w:pPr>
      <w:r>
        <w:t>Provide understandable recommendations such as reorder, delay, substitute supplier or review.</w:t>
      </w:r>
    </w:p>
    <w:p>
      <w:pPr>
        <w:pStyle w:val="ListBullet"/>
        <w:spacing w:after="40"/>
      </w:pPr>
      <w:r>
        <w:t>Integrate predictions into a simple dashboard or business workflow.</w:t>
      </w:r>
    </w:p>
    <w:p>
      <w:pPr>
        <w:pStyle w:val="ListBullet"/>
        <w:spacing w:after="40"/>
      </w:pPr>
      <w:r>
        <w:t>Maintain human approval for high-impact operational decisions.</w:t>
      </w:r>
    </w:p>
    <w:p>
      <w:pPr>
        <w:pStyle w:val="ListBullet"/>
        <w:spacing w:after="40"/>
      </w:pPr>
      <w:r>
        <w:t>Measure model quality, business value, reliability and responsible-AI performance continuously.</w:t>
      </w:r>
    </w:p>
    <w:p>
      <w:pPr>
        <w:pStyle w:val="Heading1"/>
      </w:pPr>
      <w:r>
        <w:t>3. Implementation Phases and Timeline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b/>
                <w:sz w:val="18"/>
              </w:rPr>
              <w:t>Phase</w:t>
            </w:r>
          </w:p>
        </w:tc>
        <w:tc>
          <w:tcPr>
            <w:tcW w:type="dxa" w:w="2016"/>
            <w:vAlign w:val="center"/>
            <w:shd w:fill="D9EAF7"/>
          </w:tcPr>
          <w:p>
            <w:r/>
            <w:r>
              <w:rPr>
                <w:b/>
                <w:sz w:val="18"/>
              </w:rPr>
              <w:t>Timeline</w:t>
            </w:r>
          </w:p>
        </w:tc>
        <w:tc>
          <w:tcPr>
            <w:tcW w:type="dxa" w:w="2016"/>
            <w:vAlign w:val="center"/>
            <w:shd w:fill="D9EAF7"/>
          </w:tcPr>
          <w:p>
            <w:r/>
            <w:r>
              <w:rPr>
                <w:b/>
                <w:sz w:val="18"/>
              </w:rPr>
              <w:t>Main Activities</w:t>
            </w:r>
          </w:p>
        </w:tc>
        <w:tc>
          <w:tcPr>
            <w:tcW w:type="dxa" w:w="2016"/>
            <w:vAlign w:val="center"/>
            <w:shd w:fill="D9EAF7"/>
          </w:tcPr>
          <w:p>
            <w:r/>
            <w:r>
              <w:rPr>
                <w:b/>
                <w:sz w:val="18"/>
              </w:rPr>
              <w:t>Deliverable</w:t>
            </w:r>
          </w:p>
        </w:tc>
        <w:tc>
          <w:tcPr>
            <w:tcW w:type="dxa" w:w="2016"/>
            <w:vAlign w:val="center"/>
            <w:shd w:fill="D9EAF7"/>
          </w:tcPr>
          <w:p>
            <w:r/>
            <w:r>
              <w:rPr>
                <w:b/>
                <w:sz w:val="18"/>
              </w:rPr>
              <w:t>Milestone</w:t>
            </w:r>
          </w:p>
        </w:tc>
      </w:tr>
      <w:tr>
        <w:tc>
          <w:tcPr>
            <w:tcW w:type="dxa" w:w="2016"/>
            <w:vAlign w:val="center"/>
          </w:tcPr>
          <w:p>
            <w:r/>
            <w:r>
              <w:rPr>
                <w:b w:val="0"/>
                <w:sz w:val="18"/>
              </w:rPr>
              <w:t>1. Requirements &amp; Planning</w:t>
            </w:r>
          </w:p>
        </w:tc>
        <w:tc>
          <w:tcPr>
            <w:tcW w:type="dxa" w:w="2016"/>
            <w:vAlign w:val="center"/>
          </w:tcPr>
          <w:p>
            <w:r/>
            <w:r>
              <w:rPr>
                <w:b w:val="0"/>
                <w:sz w:val="18"/>
              </w:rPr>
              <w:t>Week 1</w:t>
            </w:r>
          </w:p>
        </w:tc>
        <w:tc>
          <w:tcPr>
            <w:tcW w:type="dxa" w:w="2016"/>
            <w:vAlign w:val="center"/>
          </w:tcPr>
          <w:p>
            <w:r/>
            <w:r>
              <w:rPr>
                <w:b w:val="0"/>
                <w:sz w:val="18"/>
              </w:rPr>
              <w:t>Confirm users, KPIs, workflows, data sources and success criteria.</w:t>
            </w:r>
          </w:p>
        </w:tc>
        <w:tc>
          <w:tcPr>
            <w:tcW w:type="dxa" w:w="2016"/>
            <w:vAlign w:val="center"/>
          </w:tcPr>
          <w:p>
            <w:r/>
            <w:r>
              <w:rPr>
                <w:b w:val="0"/>
                <w:sz w:val="18"/>
              </w:rPr>
              <w:t>Requirements specification</w:t>
            </w:r>
          </w:p>
        </w:tc>
        <w:tc>
          <w:tcPr>
            <w:tcW w:type="dxa" w:w="2016"/>
            <w:vAlign w:val="center"/>
          </w:tcPr>
          <w:p>
            <w:r/>
            <w:r>
              <w:rPr>
                <w:b w:val="0"/>
                <w:sz w:val="18"/>
              </w:rPr>
              <w:t>Scope approved</w:t>
            </w:r>
          </w:p>
        </w:tc>
      </w:tr>
      <w:tr>
        <w:tc>
          <w:tcPr>
            <w:tcW w:type="dxa" w:w="2016"/>
            <w:vAlign w:val="center"/>
          </w:tcPr>
          <w:p>
            <w:r/>
            <w:r>
              <w:rPr>
                <w:b w:val="0"/>
                <w:sz w:val="18"/>
              </w:rPr>
              <w:t>2. Data Preparation</w:t>
            </w:r>
          </w:p>
        </w:tc>
        <w:tc>
          <w:tcPr>
            <w:tcW w:type="dxa" w:w="2016"/>
            <w:vAlign w:val="center"/>
          </w:tcPr>
          <w:p>
            <w:r/>
            <w:r>
              <w:rPr>
                <w:b w:val="0"/>
                <w:sz w:val="18"/>
              </w:rPr>
              <w:t>Weeks 2–3</w:t>
            </w:r>
          </w:p>
        </w:tc>
        <w:tc>
          <w:tcPr>
            <w:tcW w:type="dxa" w:w="2016"/>
            <w:vAlign w:val="center"/>
          </w:tcPr>
          <w:p>
            <w:r/>
            <w:r>
              <w:rPr>
                <w:b w:val="0"/>
                <w:sz w:val="18"/>
              </w:rPr>
              <w:t>Collect, clean, validate and transform sales, inventory and supplier data.</w:t>
            </w:r>
          </w:p>
        </w:tc>
        <w:tc>
          <w:tcPr>
            <w:tcW w:type="dxa" w:w="2016"/>
            <w:vAlign w:val="center"/>
          </w:tcPr>
          <w:p>
            <w:r/>
            <w:r>
              <w:rPr>
                <w:b w:val="0"/>
                <w:sz w:val="18"/>
              </w:rPr>
              <w:t>Validated dataset + data dictionary</w:t>
            </w:r>
          </w:p>
        </w:tc>
        <w:tc>
          <w:tcPr>
            <w:tcW w:type="dxa" w:w="2016"/>
            <w:vAlign w:val="center"/>
          </w:tcPr>
          <w:p>
            <w:r/>
            <w:r>
              <w:rPr>
                <w:b w:val="0"/>
                <w:sz w:val="18"/>
              </w:rPr>
              <w:t>Data quality threshold met</w:t>
            </w:r>
          </w:p>
        </w:tc>
      </w:tr>
      <w:tr>
        <w:tc>
          <w:tcPr>
            <w:tcW w:type="dxa" w:w="2016"/>
            <w:vAlign w:val="center"/>
          </w:tcPr>
          <w:p>
            <w:r/>
            <w:r>
              <w:rPr>
                <w:b w:val="0"/>
                <w:sz w:val="18"/>
              </w:rPr>
              <w:t>3. Model Development</w:t>
            </w:r>
          </w:p>
        </w:tc>
        <w:tc>
          <w:tcPr>
            <w:tcW w:type="dxa" w:w="2016"/>
            <w:vAlign w:val="center"/>
          </w:tcPr>
          <w:p>
            <w:r/>
            <w:r>
              <w:rPr>
                <w:b w:val="0"/>
                <w:sz w:val="18"/>
              </w:rPr>
              <w:t>Weeks 4–6</w:t>
            </w:r>
          </w:p>
        </w:tc>
        <w:tc>
          <w:tcPr>
            <w:tcW w:type="dxa" w:w="2016"/>
            <w:vAlign w:val="center"/>
          </w:tcPr>
          <w:p>
            <w:r/>
            <w:r>
              <w:rPr>
                <w:b w:val="0"/>
                <w:sz w:val="18"/>
              </w:rPr>
              <w:t>Build baseline and forecasting/risk models; engineer features; tune models.</w:t>
            </w:r>
          </w:p>
        </w:tc>
        <w:tc>
          <w:tcPr>
            <w:tcW w:type="dxa" w:w="2016"/>
            <w:vAlign w:val="center"/>
          </w:tcPr>
          <w:p>
            <w:r/>
            <w:r>
              <w:rPr>
                <w:b w:val="0"/>
                <w:sz w:val="18"/>
              </w:rPr>
              <w:t>Trained model candidates</w:t>
            </w:r>
          </w:p>
        </w:tc>
        <w:tc>
          <w:tcPr>
            <w:tcW w:type="dxa" w:w="2016"/>
            <w:vAlign w:val="center"/>
          </w:tcPr>
          <w:p>
            <w:r/>
            <w:r>
              <w:rPr>
                <w:b w:val="0"/>
                <w:sz w:val="18"/>
              </w:rPr>
              <w:t>Target validation metrics met</w:t>
            </w:r>
          </w:p>
        </w:tc>
      </w:tr>
      <w:tr>
        <w:tc>
          <w:tcPr>
            <w:tcW w:type="dxa" w:w="2016"/>
            <w:vAlign w:val="center"/>
          </w:tcPr>
          <w:p>
            <w:r/>
            <w:r>
              <w:rPr>
                <w:b w:val="0"/>
                <w:sz w:val="18"/>
              </w:rPr>
              <w:t>4. Prototype</w:t>
            </w:r>
          </w:p>
        </w:tc>
        <w:tc>
          <w:tcPr>
            <w:tcW w:type="dxa" w:w="2016"/>
            <w:vAlign w:val="center"/>
          </w:tcPr>
          <w:p>
            <w:r/>
            <w:r>
              <w:rPr>
                <w:b w:val="0"/>
                <w:sz w:val="18"/>
              </w:rPr>
              <w:t>Weeks 7–8</w:t>
            </w:r>
          </w:p>
        </w:tc>
        <w:tc>
          <w:tcPr>
            <w:tcW w:type="dxa" w:w="2016"/>
            <w:vAlign w:val="center"/>
          </w:tcPr>
          <w:p>
            <w:r/>
            <w:r>
              <w:rPr>
                <w:b w:val="0"/>
                <w:sz w:val="18"/>
              </w:rPr>
              <w:t>Create prediction API/dashboard and connect model outputs to business views.</w:t>
            </w:r>
          </w:p>
        </w:tc>
        <w:tc>
          <w:tcPr>
            <w:tcW w:type="dxa" w:w="2016"/>
            <w:vAlign w:val="center"/>
          </w:tcPr>
          <w:p>
            <w:r/>
            <w:r>
              <w:rPr>
                <w:b w:val="0"/>
                <w:sz w:val="18"/>
              </w:rPr>
              <w:t>Working MVP</w:t>
            </w:r>
          </w:p>
        </w:tc>
        <w:tc>
          <w:tcPr>
            <w:tcW w:type="dxa" w:w="2016"/>
            <w:vAlign w:val="center"/>
          </w:tcPr>
          <w:p>
            <w:r/>
            <w:r>
              <w:rPr>
                <w:b w:val="0"/>
                <w:sz w:val="18"/>
              </w:rPr>
              <w:t>End-to-end demo</w:t>
            </w:r>
          </w:p>
        </w:tc>
      </w:tr>
      <w:tr>
        <w:tc>
          <w:tcPr>
            <w:tcW w:type="dxa" w:w="2016"/>
            <w:vAlign w:val="center"/>
          </w:tcPr>
          <w:p>
            <w:r/>
            <w:r>
              <w:rPr>
                <w:b w:val="0"/>
                <w:sz w:val="18"/>
              </w:rPr>
              <w:t>5. Testing &amp; Validation</w:t>
            </w:r>
          </w:p>
        </w:tc>
        <w:tc>
          <w:tcPr>
            <w:tcW w:type="dxa" w:w="2016"/>
            <w:vAlign w:val="center"/>
          </w:tcPr>
          <w:p>
            <w:r/>
            <w:r>
              <w:rPr>
                <w:b w:val="0"/>
                <w:sz w:val="18"/>
              </w:rPr>
              <w:t>Weeks 9–10</w:t>
            </w:r>
          </w:p>
        </w:tc>
        <w:tc>
          <w:tcPr>
            <w:tcW w:type="dxa" w:w="2016"/>
            <w:vAlign w:val="center"/>
          </w:tcPr>
          <w:p>
            <w:r/>
            <w:r>
              <w:rPr>
                <w:b w:val="0"/>
                <w:sz w:val="18"/>
              </w:rPr>
              <w:t>Functional, performance, security, bias, robustness and user testing.</w:t>
            </w:r>
          </w:p>
        </w:tc>
        <w:tc>
          <w:tcPr>
            <w:tcW w:type="dxa" w:w="2016"/>
            <w:vAlign w:val="center"/>
          </w:tcPr>
          <w:p>
            <w:r/>
            <w:r>
              <w:rPr>
                <w:b w:val="0"/>
                <w:sz w:val="18"/>
              </w:rPr>
              <w:t>Test report</w:t>
            </w:r>
          </w:p>
        </w:tc>
        <w:tc>
          <w:tcPr>
            <w:tcW w:type="dxa" w:w="2016"/>
            <w:vAlign w:val="center"/>
          </w:tcPr>
          <w:p>
            <w:r/>
            <w:r>
              <w:rPr>
                <w:b w:val="0"/>
                <w:sz w:val="18"/>
              </w:rPr>
              <w:t>Go/no-go approval</w:t>
            </w:r>
          </w:p>
        </w:tc>
      </w:tr>
      <w:tr>
        <w:tc>
          <w:tcPr>
            <w:tcW w:type="dxa" w:w="2016"/>
            <w:vAlign w:val="center"/>
          </w:tcPr>
          <w:p>
            <w:r/>
            <w:r>
              <w:rPr>
                <w:b w:val="0"/>
                <w:sz w:val="18"/>
              </w:rPr>
              <w:t>6. Pilot Deployment</w:t>
            </w:r>
          </w:p>
        </w:tc>
        <w:tc>
          <w:tcPr>
            <w:tcW w:type="dxa" w:w="2016"/>
            <w:vAlign w:val="center"/>
          </w:tcPr>
          <w:p>
            <w:r/>
            <w:r>
              <w:rPr>
                <w:b w:val="0"/>
                <w:sz w:val="18"/>
              </w:rPr>
              <w:t>Weeks 11–12</w:t>
            </w:r>
          </w:p>
        </w:tc>
        <w:tc>
          <w:tcPr>
            <w:tcW w:type="dxa" w:w="2016"/>
            <w:vAlign w:val="center"/>
          </w:tcPr>
          <w:p>
            <w:r/>
            <w:r>
              <w:rPr>
                <w:b w:val="0"/>
                <w:sz w:val="18"/>
              </w:rPr>
              <w:t>Deploy to a limited user group and compare outcomes with current practice.</w:t>
            </w:r>
          </w:p>
        </w:tc>
        <w:tc>
          <w:tcPr>
            <w:tcW w:type="dxa" w:w="2016"/>
            <w:vAlign w:val="center"/>
          </w:tcPr>
          <w:p>
            <w:r/>
            <w:r>
              <w:rPr>
                <w:b w:val="0"/>
                <w:sz w:val="18"/>
              </w:rPr>
              <w:t>Pilot results</w:t>
            </w:r>
          </w:p>
        </w:tc>
        <w:tc>
          <w:tcPr>
            <w:tcW w:type="dxa" w:w="2016"/>
            <w:vAlign w:val="center"/>
          </w:tcPr>
          <w:p>
            <w:r/>
            <w:r>
              <w:rPr>
                <w:b w:val="0"/>
                <w:sz w:val="18"/>
              </w:rPr>
              <w:t>Pilot success criteria met</w:t>
            </w:r>
          </w:p>
        </w:tc>
      </w:tr>
      <w:tr>
        <w:tc>
          <w:tcPr>
            <w:tcW w:type="dxa" w:w="2016"/>
            <w:vAlign w:val="center"/>
          </w:tcPr>
          <w:p>
            <w:r/>
            <w:r>
              <w:rPr>
                <w:b w:val="0"/>
                <w:sz w:val="18"/>
              </w:rPr>
              <w:t>7. Production Rollout</w:t>
            </w:r>
          </w:p>
        </w:tc>
        <w:tc>
          <w:tcPr>
            <w:tcW w:type="dxa" w:w="2016"/>
            <w:vAlign w:val="center"/>
          </w:tcPr>
          <w:p>
            <w:r/>
            <w:r>
              <w:rPr>
                <w:b w:val="0"/>
                <w:sz w:val="18"/>
              </w:rPr>
              <w:t>Weeks 13–14</w:t>
            </w:r>
          </w:p>
        </w:tc>
        <w:tc>
          <w:tcPr>
            <w:tcW w:type="dxa" w:w="2016"/>
            <w:vAlign w:val="center"/>
          </w:tcPr>
          <w:p>
            <w:r/>
            <w:r>
              <w:rPr>
                <w:b w:val="0"/>
                <w:sz w:val="18"/>
              </w:rPr>
              <w:t>Scale infrastructure, train users, establish monitoring and release controls.</w:t>
            </w:r>
          </w:p>
        </w:tc>
        <w:tc>
          <w:tcPr>
            <w:tcW w:type="dxa" w:w="2016"/>
            <w:vAlign w:val="center"/>
          </w:tcPr>
          <w:p>
            <w:r/>
            <w:r>
              <w:rPr>
                <w:b w:val="0"/>
                <w:sz w:val="18"/>
              </w:rPr>
              <w:t>Production release</w:t>
            </w:r>
          </w:p>
        </w:tc>
        <w:tc>
          <w:tcPr>
            <w:tcW w:type="dxa" w:w="2016"/>
            <w:vAlign w:val="center"/>
          </w:tcPr>
          <w:p>
            <w:r/>
            <w:r>
              <w:rPr>
                <w:b w:val="0"/>
                <w:sz w:val="18"/>
              </w:rPr>
              <w:t>Operational sign-off</w:t>
            </w:r>
          </w:p>
        </w:tc>
      </w:tr>
      <w:tr>
        <w:tc>
          <w:tcPr>
            <w:tcW w:type="dxa" w:w="2016"/>
            <w:vAlign w:val="center"/>
          </w:tcPr>
          <w:p>
            <w:r/>
            <w:r>
              <w:rPr>
                <w:b w:val="0"/>
                <w:sz w:val="18"/>
              </w:rPr>
              <w:t>8. Continuous Improvement</w:t>
            </w:r>
          </w:p>
        </w:tc>
        <w:tc>
          <w:tcPr>
            <w:tcW w:type="dxa" w:w="2016"/>
            <w:vAlign w:val="center"/>
          </w:tcPr>
          <w:p>
            <w:r/>
            <w:r>
              <w:rPr>
                <w:b w:val="0"/>
                <w:sz w:val="18"/>
              </w:rPr>
              <w:t>Ongoing</w:t>
            </w:r>
          </w:p>
        </w:tc>
        <w:tc>
          <w:tcPr>
            <w:tcW w:type="dxa" w:w="2016"/>
            <w:vAlign w:val="center"/>
          </w:tcPr>
          <w:p>
            <w:r/>
            <w:r>
              <w:rPr>
                <w:b w:val="0"/>
                <w:sz w:val="18"/>
              </w:rPr>
              <w:t>Monitor drift, feedback, incidents and business KPIs; retrain when justified.</w:t>
            </w:r>
          </w:p>
        </w:tc>
        <w:tc>
          <w:tcPr>
            <w:tcW w:type="dxa" w:w="2016"/>
            <w:vAlign w:val="center"/>
          </w:tcPr>
          <w:p>
            <w:r/>
            <w:r>
              <w:rPr>
                <w:b w:val="0"/>
                <w:sz w:val="18"/>
              </w:rPr>
              <w:t>Monitoring/retraining reports</w:t>
            </w:r>
          </w:p>
        </w:tc>
        <w:tc>
          <w:tcPr>
            <w:tcW w:type="dxa" w:w="2016"/>
            <w:vAlign w:val="center"/>
          </w:tcPr>
          <w:p>
            <w:r/>
            <w:r>
              <w:rPr>
                <w:b w:val="0"/>
                <w:sz w:val="18"/>
              </w:rPr>
              <w:t>Quarterly review cycle</w:t>
            </w:r>
          </w:p>
        </w:tc>
      </w:tr>
    </w:tbl>
    <w:p>
      <w:pPr>
        <w:pStyle w:val="Heading1"/>
      </w:pPr>
      <w:r>
        <w:t>4. Step-by-Step Implementation Roadmap</w:t>
      </w:r>
    </w:p>
    <w:p>
      <w:pPr>
        <w:pStyle w:val="Heading2"/>
      </w:pPr>
      <w:r>
        <w:t>4.1 Requirements and User Mapping</w:t>
      </w:r>
    </w:p>
    <w:p>
      <w:r>
        <w:t>Identify inventory managers, procurement staff, operations managers and business owners. Document their decisions, pain points, required inputs, approval levels and expected outputs. Define measurable success criteria before model development begins.</w:t>
      </w:r>
    </w:p>
    <w:p>
      <w:pPr>
        <w:pStyle w:val="Heading2"/>
      </w:pPr>
      <w:r>
        <w:t>4.2 Data Collection and Governance</w:t>
      </w:r>
    </w:p>
    <w:p>
      <w:r>
        <w:t>Collect structured historical sales, SKU, inventory, supplier, purchase-order, lead-time and disruption data. Create a data dictionary, establish ownership, define retention rules and restrict access to the minimum necessary information.</w:t>
      </w:r>
    </w:p>
    <w:p>
      <w:pPr>
        <w:pStyle w:val="Heading2"/>
      </w:pPr>
      <w:r>
        <w:t>4.3 Data Quality and Preprocessing</w:t>
      </w:r>
    </w:p>
    <w:p>
      <w:r>
        <w:t>Handle missing values, duplicates and inconsistent units. Detect abnormal observations and investigate rather than automatically deleting them. Align timestamps, encode categorical variables, create lag and rolling features, and prevent future information from leaking into training data.</w:t>
      </w:r>
    </w:p>
    <w:p>
      <w:pPr>
        <w:pStyle w:val="Heading2"/>
      </w:pPr>
      <w:r>
        <w:t>4.4 Model Development</w:t>
      </w:r>
    </w:p>
    <w:p>
      <w:r>
        <w:t>Develop a simple baseline first, then compare suitable forecasting and risk models. Candidate approaches include gradient-boosted decision trees for structured risk prediction and time-series forecasting models for demand. Select the model using both predictive quality and practical criteria such as latency, interpretability, maintenance effort and cost.</w:t>
      </w:r>
    </w:p>
    <w:p>
      <w:pPr>
        <w:pStyle w:val="Heading2"/>
      </w:pPr>
      <w:r>
        <w:t>4.5 Application and Integration</w:t>
      </w:r>
    </w:p>
    <w:p>
      <w:r>
        <w:t>Expose model predictions through a secure API and connect them to a dashboard. Present forecast ranges, risk levels, key contributing factors and recommended actions. Use role-based access and require explicit human approval for high-impact actions.</w:t>
      </w:r>
    </w:p>
    <w:p>
      <w:pPr>
        <w:pStyle w:val="Heading2"/>
      </w:pPr>
      <w:r>
        <w:t>4.6 Testing and Pilot</w:t>
      </w:r>
    </w:p>
    <w:p>
      <w:r>
        <w:t>Run offline validation, scenario tests and user acceptance testing. During the pilot, compare AI-assisted decisions with existing processes, collect user feedback and track business outcomes.</w:t>
      </w:r>
    </w:p>
    <w:p>
      <w:pPr>
        <w:pStyle w:val="Heading2"/>
      </w:pPr>
      <w:r>
        <w:t>4.7 Production and Monitoring</w:t>
      </w:r>
    </w:p>
    <w:p>
      <w:r>
        <w:t>Deploy with version control, logging, rollback capability and monitoring. Track data drift, model drift, service health and business KPIs. Retrain only when monitoring and validation justify a new model version.</w:t>
      </w:r>
    </w:p>
    <w:p>
      <w:pPr>
        <w:pStyle w:val="Heading1"/>
      </w:pPr>
      <w:r>
        <w:t>5. Proposed System Flow</w:t>
      </w:r>
    </w:p>
    <w:p>
      <w:pPr>
        <w:jc w:val="center"/>
      </w:pPr>
      <w:r>
        <w:rPr>
          <w:b/>
        </w:rPr>
        <w:t>[Sales / Inventory / Supplier Data]</w:t>
        <w:br/>
        <w:t>↓</w:t>
        <w:br/>
        <w:t>[Data Validation &amp; Preprocessing]</w:t>
        <w:br/>
        <w:t>↓</w:t>
        <w:br/>
        <w:t>[Feature Engineering]</w:t>
        <w:br/>
        <w:t>↓</w:t>
        <w:br/>
        <w:t>[Demand Forecast + Supply Risk Models]</w:t>
        <w:br/>
        <w:t>↓</w:t>
        <w:br/>
        <w:t>[Decision / Recommendation Layer]</w:t>
        <w:br/>
        <w:t>↓</w:t>
        <w:br/>
        <w:t>[Dashboard + Alerts]</w:t>
        <w:br/>
        <w:t>↓</w:t>
        <w:br/>
        <w:t>[Human Review &amp; Approval]</w:t>
        <w:br/>
        <w:t>↓</w:t>
        <w:br/>
        <w:t>[Business Action]</w:t>
        <w:br/>
        <w:t>↓</w:t>
        <w:br/>
        <w:t>[Monitoring + Feedback + Retraining]</w:t>
      </w:r>
    </w:p>
    <w:p>
      <w:pPr>
        <w:pStyle w:val="Heading1"/>
      </w:pPr>
      <w:r>
        <w:t>6. Technical Implementation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Component</w:t>
            </w:r>
          </w:p>
        </w:tc>
        <w:tc>
          <w:tcPr>
            <w:tcW w:type="dxa" w:w="3360"/>
            <w:vAlign w:val="center"/>
            <w:shd w:fill="D9EAF7"/>
          </w:tcPr>
          <w:p>
            <w:r/>
            <w:r>
              <w:rPr>
                <w:b/>
                <w:sz w:val="18"/>
              </w:rPr>
              <w:t>Suggested Technology</w:t>
            </w:r>
          </w:p>
        </w:tc>
        <w:tc>
          <w:tcPr>
            <w:tcW w:type="dxa" w:w="3360"/>
            <w:vAlign w:val="center"/>
            <w:shd w:fill="D9EAF7"/>
          </w:tcPr>
          <w:p>
            <w:r/>
            <w:r>
              <w:rPr>
                <w:b/>
                <w:sz w:val="18"/>
              </w:rPr>
              <w:t>Purpose</w:t>
            </w:r>
          </w:p>
        </w:tc>
      </w:tr>
      <w:tr>
        <w:tc>
          <w:tcPr>
            <w:tcW w:type="dxa" w:w="3360"/>
            <w:vAlign w:val="center"/>
          </w:tcPr>
          <w:p>
            <w:r/>
            <w:r>
              <w:rPr>
                <w:b w:val="0"/>
                <w:sz w:val="18"/>
              </w:rPr>
              <w:t>Data processing</w:t>
            </w:r>
          </w:p>
        </w:tc>
        <w:tc>
          <w:tcPr>
            <w:tcW w:type="dxa" w:w="3360"/>
            <w:vAlign w:val="center"/>
          </w:tcPr>
          <w:p>
            <w:r/>
            <w:r>
              <w:rPr>
                <w:b w:val="0"/>
                <w:sz w:val="18"/>
              </w:rPr>
              <w:t>Python, Pandas, NumPy</w:t>
            </w:r>
          </w:p>
        </w:tc>
        <w:tc>
          <w:tcPr>
            <w:tcW w:type="dxa" w:w="3360"/>
            <w:vAlign w:val="center"/>
          </w:tcPr>
          <w:p>
            <w:r/>
            <w:r>
              <w:rPr>
                <w:b w:val="0"/>
                <w:sz w:val="18"/>
              </w:rPr>
              <w:t>Cleaning, transformation and feature engineering</w:t>
            </w:r>
          </w:p>
        </w:tc>
      </w:tr>
      <w:tr>
        <w:tc>
          <w:tcPr>
            <w:tcW w:type="dxa" w:w="3360"/>
            <w:vAlign w:val="center"/>
          </w:tcPr>
          <w:p>
            <w:r/>
            <w:r>
              <w:rPr>
                <w:b w:val="0"/>
                <w:sz w:val="18"/>
              </w:rPr>
              <w:t>Modeling</w:t>
            </w:r>
          </w:p>
        </w:tc>
        <w:tc>
          <w:tcPr>
            <w:tcW w:type="dxa" w:w="3360"/>
            <w:vAlign w:val="center"/>
          </w:tcPr>
          <w:p>
            <w:r/>
            <w:r>
              <w:rPr>
                <w:b w:val="0"/>
                <w:sz w:val="18"/>
              </w:rPr>
              <w:t>Scikit-learn / XGBoost and time-series libraries</w:t>
            </w:r>
          </w:p>
        </w:tc>
        <w:tc>
          <w:tcPr>
            <w:tcW w:type="dxa" w:w="3360"/>
            <w:vAlign w:val="center"/>
          </w:tcPr>
          <w:p>
            <w:r/>
            <w:r>
              <w:rPr>
                <w:b w:val="0"/>
                <w:sz w:val="18"/>
              </w:rPr>
              <w:t>Forecasting and disruption-risk prediction</w:t>
            </w:r>
          </w:p>
        </w:tc>
      </w:tr>
      <w:tr>
        <w:tc>
          <w:tcPr>
            <w:tcW w:type="dxa" w:w="3360"/>
            <w:vAlign w:val="center"/>
          </w:tcPr>
          <w:p>
            <w:r/>
            <w:r>
              <w:rPr>
                <w:b w:val="0"/>
                <w:sz w:val="18"/>
              </w:rPr>
              <w:t>API</w:t>
            </w:r>
          </w:p>
        </w:tc>
        <w:tc>
          <w:tcPr>
            <w:tcW w:type="dxa" w:w="3360"/>
            <w:vAlign w:val="center"/>
          </w:tcPr>
          <w:p>
            <w:r/>
            <w:r>
              <w:rPr>
                <w:b w:val="0"/>
                <w:sz w:val="18"/>
              </w:rPr>
              <w:t>FastAPI</w:t>
            </w:r>
          </w:p>
        </w:tc>
        <w:tc>
          <w:tcPr>
            <w:tcW w:type="dxa" w:w="3360"/>
            <w:vAlign w:val="center"/>
          </w:tcPr>
          <w:p>
            <w:r/>
            <w:r>
              <w:rPr>
                <w:b w:val="0"/>
                <w:sz w:val="18"/>
              </w:rPr>
              <w:t>Serve predictions securely to the application</w:t>
            </w:r>
          </w:p>
        </w:tc>
      </w:tr>
      <w:tr>
        <w:tc>
          <w:tcPr>
            <w:tcW w:type="dxa" w:w="3360"/>
            <w:vAlign w:val="center"/>
          </w:tcPr>
          <w:p>
            <w:r/>
            <w:r>
              <w:rPr>
                <w:b w:val="0"/>
                <w:sz w:val="18"/>
              </w:rPr>
              <w:t>Database</w:t>
            </w:r>
          </w:p>
        </w:tc>
        <w:tc>
          <w:tcPr>
            <w:tcW w:type="dxa" w:w="3360"/>
            <w:vAlign w:val="center"/>
          </w:tcPr>
          <w:p>
            <w:r/>
            <w:r>
              <w:rPr>
                <w:b w:val="0"/>
                <w:sz w:val="18"/>
              </w:rPr>
              <w:t>PostgreSQL</w:t>
            </w:r>
          </w:p>
        </w:tc>
        <w:tc>
          <w:tcPr>
            <w:tcW w:type="dxa" w:w="3360"/>
            <w:vAlign w:val="center"/>
          </w:tcPr>
          <w:p>
            <w:r/>
            <w:r>
              <w:rPr>
                <w:b w:val="0"/>
                <w:sz w:val="18"/>
              </w:rPr>
              <w:t>Store operational data and model outputs</w:t>
            </w:r>
          </w:p>
        </w:tc>
      </w:tr>
      <w:tr>
        <w:tc>
          <w:tcPr>
            <w:tcW w:type="dxa" w:w="3360"/>
            <w:vAlign w:val="center"/>
          </w:tcPr>
          <w:p>
            <w:r/>
            <w:r>
              <w:rPr>
                <w:b w:val="0"/>
                <w:sz w:val="18"/>
              </w:rPr>
              <w:t>Dashboard</w:t>
            </w:r>
          </w:p>
        </w:tc>
        <w:tc>
          <w:tcPr>
            <w:tcW w:type="dxa" w:w="3360"/>
            <w:vAlign w:val="center"/>
          </w:tcPr>
          <w:p>
            <w:r/>
            <w:r>
              <w:rPr>
                <w:b w:val="0"/>
                <w:sz w:val="18"/>
              </w:rPr>
              <w:t>Streamlit or React</w:t>
            </w:r>
          </w:p>
        </w:tc>
        <w:tc>
          <w:tcPr>
            <w:tcW w:type="dxa" w:w="3360"/>
            <w:vAlign w:val="center"/>
          </w:tcPr>
          <w:p>
            <w:r/>
            <w:r>
              <w:rPr>
                <w:b w:val="0"/>
                <w:sz w:val="18"/>
              </w:rPr>
              <w:t>Present forecasts, alerts and explanations</w:t>
            </w:r>
          </w:p>
        </w:tc>
      </w:tr>
      <w:tr>
        <w:tc>
          <w:tcPr>
            <w:tcW w:type="dxa" w:w="3360"/>
            <w:vAlign w:val="center"/>
          </w:tcPr>
          <w:p>
            <w:r/>
            <w:r>
              <w:rPr>
                <w:b w:val="0"/>
                <w:sz w:val="18"/>
              </w:rPr>
              <w:t>Deployment</w:t>
            </w:r>
          </w:p>
        </w:tc>
        <w:tc>
          <w:tcPr>
            <w:tcW w:type="dxa" w:w="3360"/>
            <w:vAlign w:val="center"/>
          </w:tcPr>
          <w:p>
            <w:r/>
            <w:r>
              <w:rPr>
                <w:b w:val="0"/>
                <w:sz w:val="18"/>
              </w:rPr>
              <w:t>Docker + cloud platform</w:t>
            </w:r>
          </w:p>
        </w:tc>
        <w:tc>
          <w:tcPr>
            <w:tcW w:type="dxa" w:w="3360"/>
            <w:vAlign w:val="center"/>
          </w:tcPr>
          <w:p>
            <w:r/>
            <w:r>
              <w:rPr>
                <w:b w:val="0"/>
                <w:sz w:val="18"/>
              </w:rPr>
              <w:t>Reproducible deployment and scaling</w:t>
            </w:r>
          </w:p>
        </w:tc>
      </w:tr>
      <w:tr>
        <w:tc>
          <w:tcPr>
            <w:tcW w:type="dxa" w:w="3360"/>
            <w:vAlign w:val="center"/>
          </w:tcPr>
          <w:p>
            <w:r/>
            <w:r>
              <w:rPr>
                <w:b w:val="0"/>
                <w:sz w:val="18"/>
              </w:rPr>
              <w:t>Monitoring</w:t>
            </w:r>
          </w:p>
        </w:tc>
        <w:tc>
          <w:tcPr>
            <w:tcW w:type="dxa" w:w="3360"/>
            <w:vAlign w:val="center"/>
          </w:tcPr>
          <w:p>
            <w:r/>
            <w:r>
              <w:rPr>
                <w:b w:val="0"/>
                <w:sz w:val="18"/>
              </w:rPr>
              <w:t>Application/model monitoring tools</w:t>
            </w:r>
          </w:p>
        </w:tc>
        <w:tc>
          <w:tcPr>
            <w:tcW w:type="dxa" w:w="3360"/>
            <w:vAlign w:val="center"/>
          </w:tcPr>
          <w:p>
            <w:r/>
            <w:r>
              <w:rPr>
                <w:b w:val="0"/>
                <w:sz w:val="18"/>
              </w:rPr>
              <w:t>Track drift, errors, latency and reliability</w:t>
            </w:r>
          </w:p>
        </w:tc>
      </w:tr>
    </w:tbl>
    <w:p>
      <w:pPr>
        <w:pStyle w:val="Heading1"/>
      </w:pPr>
      <w:r>
        <w:t>7. Ethical, Societal and Regulatory Considerations</w:t>
      </w:r>
    </w:p>
    <w:p>
      <w:pPr>
        <w:pStyle w:val="Heading2"/>
      </w:pPr>
      <w:r>
        <w:t>7.1 Data Privacy</w:t>
      </w:r>
    </w:p>
    <w:p>
      <w:r>
        <w:t>SupplySense AI should collect only information required for forecasting and operational decisions. Sensitive or personally identifiable information should not be included unless there is a documented need. Data should be protected in transit and at rest, access should be role-based, and retention periods should be defined. Data sources and permissions should be documented before production use.</w:t>
      </w:r>
    </w:p>
    <w:p>
      <w:pPr>
        <w:pStyle w:val="Heading2"/>
      </w:pPr>
      <w:r>
        <w:t>7.2 Fairness and Bias</w:t>
      </w:r>
    </w:p>
    <w:p>
      <w:r>
        <w:t>Historical business data can contain systematic patterns that cause unequal or unreliable recommendations. The project should test performance across relevant product groups, supplier groups, locations and business conditions where sufficient data exists. Large performance gaps should trigger investigation, additional data collection or model adjustment.</w:t>
      </w:r>
    </w:p>
    <w:p>
      <w:pPr>
        <w:pStyle w:val="Heading2"/>
      </w:pPr>
      <w:r>
        <w:t>7.3 Transparency and Explainability</w:t>
      </w:r>
    </w:p>
    <w:p>
      <w:r>
        <w:t>Users should be able to understand why an alert or recommendation was produced. The interface should show important factors, confidence or forecast ranges, relevant historical trends and a clear statement that AI outputs are recommendations rather than guaranteed outcomes.</w:t>
      </w:r>
    </w:p>
    <w:p>
      <w:pPr>
        <w:pStyle w:val="Heading2"/>
      </w:pPr>
      <w:r>
        <w:t>7.4 Human Oversight and Accountability</w:t>
      </w:r>
    </w:p>
    <w:p>
      <w:r>
        <w:t>The system should not autonomously execute high-impact procurement or supplier decisions without appropriate authorization. Approval workflows, audit logs and model/version records should make it possible to identify what recommendation was made, what data/model produced it and what action was ultimately taken.</w:t>
      </w:r>
    </w:p>
    <w:p>
      <w:pPr>
        <w:pStyle w:val="Heading2"/>
      </w:pPr>
      <w:r>
        <w:t>7.5 Regulatory and Standards Awareness</w:t>
      </w:r>
    </w:p>
    <w:p>
      <w:r>
        <w:t>The implementation should align with responsible-AI practices such as the NIST AI Risk Management Framework and its Generative AI Profile where applicable. Depending on deployment location and system functionality, the team should also review applicable privacy, cybersecurity, AI and sector-specific requirements. Regulatory review should be repeated before production release and after material changes.</w:t>
      </w:r>
    </w:p>
    <w:p>
      <w:pPr>
        <w:pStyle w:val="Heading1"/>
      </w:pPr>
      <w:r>
        <w:t>8. Risk Assessment and Contingency Plan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FCE4D6"/>
          </w:tcPr>
          <w:p>
            <w:r/>
            <w:r>
              <w:rPr>
                <w:b/>
                <w:sz w:val="18"/>
              </w:rPr>
              <w:t>Risk</w:t>
            </w:r>
          </w:p>
        </w:tc>
        <w:tc>
          <w:tcPr>
            <w:tcW w:type="dxa" w:w="2520"/>
            <w:vAlign w:val="center"/>
            <w:shd w:fill="FCE4D6"/>
          </w:tcPr>
          <w:p>
            <w:r/>
            <w:r>
              <w:rPr>
                <w:b/>
                <w:sz w:val="18"/>
              </w:rPr>
              <w:t>Impact</w:t>
            </w:r>
          </w:p>
        </w:tc>
        <w:tc>
          <w:tcPr>
            <w:tcW w:type="dxa" w:w="2520"/>
            <w:vAlign w:val="center"/>
            <w:shd w:fill="FCE4D6"/>
          </w:tcPr>
          <w:p>
            <w:r/>
            <w:r>
              <w:rPr>
                <w:b/>
                <w:sz w:val="18"/>
              </w:rPr>
              <w:t>Mitigation</w:t>
            </w:r>
          </w:p>
        </w:tc>
        <w:tc>
          <w:tcPr>
            <w:tcW w:type="dxa" w:w="2520"/>
            <w:vAlign w:val="center"/>
            <w:shd w:fill="FCE4D6"/>
          </w:tcPr>
          <w:p>
            <w:r/>
            <w:r>
              <w:rPr>
                <w:b/>
                <w:sz w:val="18"/>
              </w:rPr>
              <w:t>Contingency</w:t>
            </w:r>
          </w:p>
        </w:tc>
      </w:tr>
      <w:tr>
        <w:tc>
          <w:tcPr>
            <w:tcW w:type="dxa" w:w="2520"/>
            <w:vAlign w:val="center"/>
          </w:tcPr>
          <w:p>
            <w:r/>
            <w:r>
              <w:rPr>
                <w:b w:val="0"/>
                <w:sz w:val="18"/>
              </w:rPr>
              <w:t>Poor data quality</w:t>
            </w:r>
          </w:p>
        </w:tc>
        <w:tc>
          <w:tcPr>
            <w:tcW w:type="dxa" w:w="2520"/>
            <w:vAlign w:val="center"/>
          </w:tcPr>
          <w:p>
            <w:r/>
            <w:r>
              <w:rPr>
                <w:b w:val="0"/>
                <w:sz w:val="18"/>
              </w:rPr>
              <w:t>High</w:t>
            </w:r>
          </w:p>
        </w:tc>
        <w:tc>
          <w:tcPr>
            <w:tcW w:type="dxa" w:w="2520"/>
            <w:vAlign w:val="center"/>
          </w:tcPr>
          <w:p>
            <w:r/>
            <w:r>
              <w:rPr>
                <w:b w:val="0"/>
                <w:sz w:val="18"/>
              </w:rPr>
              <w:t>Validation rules, data dictionary, quality checks</w:t>
            </w:r>
          </w:p>
        </w:tc>
        <w:tc>
          <w:tcPr>
            <w:tcW w:type="dxa" w:w="2520"/>
            <w:vAlign w:val="center"/>
          </w:tcPr>
          <w:p>
            <w:r/>
            <w:r>
              <w:rPr>
                <w:b w:val="0"/>
                <w:sz w:val="18"/>
              </w:rPr>
              <w:t>Fallback to baseline model/manual review</w:t>
            </w:r>
          </w:p>
        </w:tc>
      </w:tr>
      <w:tr>
        <w:tc>
          <w:tcPr>
            <w:tcW w:type="dxa" w:w="2520"/>
            <w:vAlign w:val="center"/>
          </w:tcPr>
          <w:p>
            <w:r/>
            <w:r>
              <w:rPr>
                <w:b w:val="0"/>
                <w:sz w:val="18"/>
              </w:rPr>
              <w:t>Overfitting</w:t>
            </w:r>
          </w:p>
        </w:tc>
        <w:tc>
          <w:tcPr>
            <w:tcW w:type="dxa" w:w="2520"/>
            <w:vAlign w:val="center"/>
          </w:tcPr>
          <w:p>
            <w:r/>
            <w:r>
              <w:rPr>
                <w:b w:val="0"/>
                <w:sz w:val="18"/>
              </w:rPr>
              <w:t>High</w:t>
            </w:r>
          </w:p>
        </w:tc>
        <w:tc>
          <w:tcPr>
            <w:tcW w:type="dxa" w:w="2520"/>
            <w:vAlign w:val="center"/>
          </w:tcPr>
          <w:p>
            <w:r/>
            <w:r>
              <w:rPr>
                <w:b w:val="0"/>
                <w:sz w:val="18"/>
              </w:rPr>
              <w:t>Temporal validation, regularization, holdout testing</w:t>
            </w:r>
          </w:p>
        </w:tc>
        <w:tc>
          <w:tcPr>
            <w:tcW w:type="dxa" w:w="2520"/>
            <w:vAlign w:val="center"/>
          </w:tcPr>
          <w:p>
            <w:r/>
            <w:r>
              <w:rPr>
                <w:b w:val="0"/>
                <w:sz w:val="18"/>
              </w:rPr>
              <w:t>Simplify model and retrain</w:t>
            </w:r>
          </w:p>
        </w:tc>
      </w:tr>
      <w:tr>
        <w:tc>
          <w:tcPr>
            <w:tcW w:type="dxa" w:w="2520"/>
            <w:vAlign w:val="center"/>
          </w:tcPr>
          <w:p>
            <w:r/>
            <w:r>
              <w:rPr>
                <w:b w:val="0"/>
                <w:sz w:val="18"/>
              </w:rPr>
              <w:t>Model drift</w:t>
            </w:r>
          </w:p>
        </w:tc>
        <w:tc>
          <w:tcPr>
            <w:tcW w:type="dxa" w:w="2520"/>
            <w:vAlign w:val="center"/>
          </w:tcPr>
          <w:p>
            <w:r/>
            <w:r>
              <w:rPr>
                <w:b w:val="0"/>
                <w:sz w:val="18"/>
              </w:rPr>
              <w:t>Medium/High</w:t>
            </w:r>
          </w:p>
        </w:tc>
        <w:tc>
          <w:tcPr>
            <w:tcW w:type="dxa" w:w="2520"/>
            <w:vAlign w:val="center"/>
          </w:tcPr>
          <w:p>
            <w:r/>
            <w:r>
              <w:rPr>
                <w:b w:val="0"/>
                <w:sz w:val="18"/>
              </w:rPr>
              <w:t>Monitor distributions and KPI degradation</w:t>
            </w:r>
          </w:p>
        </w:tc>
        <w:tc>
          <w:tcPr>
            <w:tcW w:type="dxa" w:w="2520"/>
            <w:vAlign w:val="center"/>
          </w:tcPr>
          <w:p>
            <w:r/>
            <w:r>
              <w:rPr>
                <w:b w:val="0"/>
                <w:sz w:val="18"/>
              </w:rPr>
              <w:t>Trigger controlled retraining</w:t>
            </w:r>
          </w:p>
        </w:tc>
      </w:tr>
      <w:tr>
        <w:tc>
          <w:tcPr>
            <w:tcW w:type="dxa" w:w="2520"/>
            <w:vAlign w:val="center"/>
          </w:tcPr>
          <w:p>
            <w:r/>
            <w:r>
              <w:rPr>
                <w:b w:val="0"/>
                <w:sz w:val="18"/>
              </w:rPr>
              <w:t>Biased recommendations</w:t>
            </w:r>
          </w:p>
        </w:tc>
        <w:tc>
          <w:tcPr>
            <w:tcW w:type="dxa" w:w="2520"/>
            <w:vAlign w:val="center"/>
          </w:tcPr>
          <w:p>
            <w:r/>
            <w:r>
              <w:rPr>
                <w:b w:val="0"/>
                <w:sz w:val="18"/>
              </w:rPr>
              <w:t>High</w:t>
            </w:r>
          </w:p>
        </w:tc>
        <w:tc>
          <w:tcPr>
            <w:tcW w:type="dxa" w:w="2520"/>
            <w:vAlign w:val="center"/>
          </w:tcPr>
          <w:p>
            <w:r/>
            <w:r>
              <w:rPr>
                <w:b w:val="0"/>
                <w:sz w:val="18"/>
              </w:rPr>
              <w:t>Segmented evaluation and bias checks</w:t>
            </w:r>
          </w:p>
        </w:tc>
        <w:tc>
          <w:tcPr>
            <w:tcW w:type="dxa" w:w="2520"/>
            <w:vAlign w:val="center"/>
          </w:tcPr>
          <w:p>
            <w:r/>
            <w:r>
              <w:rPr>
                <w:b w:val="0"/>
                <w:sz w:val="18"/>
              </w:rPr>
              <w:t>Restrict affected use case and investigate</w:t>
            </w:r>
          </w:p>
        </w:tc>
      </w:tr>
      <w:tr>
        <w:tc>
          <w:tcPr>
            <w:tcW w:type="dxa" w:w="2520"/>
            <w:vAlign w:val="center"/>
          </w:tcPr>
          <w:p>
            <w:r/>
            <w:r>
              <w:rPr>
                <w:b w:val="0"/>
                <w:sz w:val="18"/>
              </w:rPr>
              <w:t>Security breach</w:t>
            </w:r>
          </w:p>
        </w:tc>
        <w:tc>
          <w:tcPr>
            <w:tcW w:type="dxa" w:w="2520"/>
            <w:vAlign w:val="center"/>
          </w:tcPr>
          <w:p>
            <w:r/>
            <w:r>
              <w:rPr>
                <w:b w:val="0"/>
                <w:sz w:val="18"/>
              </w:rPr>
              <w:t>High</w:t>
            </w:r>
          </w:p>
        </w:tc>
        <w:tc>
          <w:tcPr>
            <w:tcW w:type="dxa" w:w="2520"/>
            <w:vAlign w:val="center"/>
          </w:tcPr>
          <w:p>
            <w:r/>
            <w:r>
              <w:rPr>
                <w:b w:val="0"/>
                <w:sz w:val="18"/>
              </w:rPr>
              <w:t>RBAC, encryption, secrets management, logging</w:t>
            </w:r>
          </w:p>
        </w:tc>
        <w:tc>
          <w:tcPr>
            <w:tcW w:type="dxa" w:w="2520"/>
            <w:vAlign w:val="center"/>
          </w:tcPr>
          <w:p>
            <w:r/>
            <w:r>
              <w:rPr>
                <w:b w:val="0"/>
                <w:sz w:val="18"/>
              </w:rPr>
              <w:t>Revoke access, isolate service, incident response</w:t>
            </w:r>
          </w:p>
        </w:tc>
      </w:tr>
      <w:tr>
        <w:tc>
          <w:tcPr>
            <w:tcW w:type="dxa" w:w="2520"/>
            <w:vAlign w:val="center"/>
          </w:tcPr>
          <w:p>
            <w:r/>
            <w:r>
              <w:rPr>
                <w:b w:val="0"/>
                <w:sz w:val="18"/>
              </w:rPr>
              <w:t>Integration failure</w:t>
            </w:r>
          </w:p>
        </w:tc>
        <w:tc>
          <w:tcPr>
            <w:tcW w:type="dxa" w:w="2520"/>
            <w:vAlign w:val="center"/>
          </w:tcPr>
          <w:p>
            <w:r/>
            <w:r>
              <w:rPr>
                <w:b w:val="0"/>
                <w:sz w:val="18"/>
              </w:rPr>
              <w:t>Medium</w:t>
            </w:r>
          </w:p>
        </w:tc>
        <w:tc>
          <w:tcPr>
            <w:tcW w:type="dxa" w:w="2520"/>
            <w:vAlign w:val="center"/>
          </w:tcPr>
          <w:p>
            <w:r/>
            <w:r>
              <w:rPr>
                <w:b w:val="0"/>
                <w:sz w:val="18"/>
              </w:rPr>
              <w:t>API tests, staged rollout, versioning</w:t>
            </w:r>
          </w:p>
        </w:tc>
        <w:tc>
          <w:tcPr>
            <w:tcW w:type="dxa" w:w="2520"/>
            <w:vAlign w:val="center"/>
          </w:tcPr>
          <w:p>
            <w:r/>
            <w:r>
              <w:rPr>
                <w:b w:val="0"/>
                <w:sz w:val="18"/>
              </w:rPr>
              <w:t>Rollback to previous release</w:t>
            </w:r>
          </w:p>
        </w:tc>
      </w:tr>
      <w:tr>
        <w:tc>
          <w:tcPr>
            <w:tcW w:type="dxa" w:w="2520"/>
            <w:vAlign w:val="center"/>
          </w:tcPr>
          <w:p>
            <w:r/>
            <w:r>
              <w:rPr>
                <w:b w:val="0"/>
                <w:sz w:val="18"/>
              </w:rPr>
              <w:t>User distrust</w:t>
            </w:r>
          </w:p>
        </w:tc>
        <w:tc>
          <w:tcPr>
            <w:tcW w:type="dxa" w:w="2520"/>
            <w:vAlign w:val="center"/>
          </w:tcPr>
          <w:p>
            <w:r/>
            <w:r>
              <w:rPr>
                <w:b w:val="0"/>
                <w:sz w:val="18"/>
              </w:rPr>
              <w:t>Medium</w:t>
            </w:r>
          </w:p>
        </w:tc>
        <w:tc>
          <w:tcPr>
            <w:tcW w:type="dxa" w:w="2520"/>
            <w:vAlign w:val="center"/>
          </w:tcPr>
          <w:p>
            <w:r/>
            <w:r>
              <w:rPr>
                <w:b w:val="0"/>
                <w:sz w:val="18"/>
              </w:rPr>
              <w:t>Explainability, training and feedback loop</w:t>
            </w:r>
          </w:p>
        </w:tc>
        <w:tc>
          <w:tcPr>
            <w:tcW w:type="dxa" w:w="2520"/>
            <w:vAlign w:val="center"/>
          </w:tcPr>
          <w:p>
            <w:r/>
            <w:r>
              <w:rPr>
                <w:b w:val="0"/>
                <w:sz w:val="18"/>
              </w:rPr>
              <w:t>Increase human review and redesign UI</w:t>
            </w:r>
          </w:p>
        </w:tc>
      </w:tr>
      <w:tr>
        <w:tc>
          <w:tcPr>
            <w:tcW w:type="dxa" w:w="2520"/>
            <w:vAlign w:val="center"/>
          </w:tcPr>
          <w:p>
            <w:r/>
            <w:r>
              <w:rPr>
                <w:b w:val="0"/>
                <w:sz w:val="18"/>
              </w:rPr>
              <w:t>Unexpected business disruption</w:t>
            </w:r>
          </w:p>
        </w:tc>
        <w:tc>
          <w:tcPr>
            <w:tcW w:type="dxa" w:w="2520"/>
            <w:vAlign w:val="center"/>
          </w:tcPr>
          <w:p>
            <w:r/>
            <w:r>
              <w:rPr>
                <w:b w:val="0"/>
                <w:sz w:val="18"/>
              </w:rPr>
              <w:t>High</w:t>
            </w:r>
          </w:p>
        </w:tc>
        <w:tc>
          <w:tcPr>
            <w:tcW w:type="dxa" w:w="2520"/>
            <w:vAlign w:val="center"/>
          </w:tcPr>
          <w:p>
            <w:r/>
            <w:r>
              <w:rPr>
                <w:b w:val="0"/>
                <w:sz w:val="18"/>
              </w:rPr>
              <w:t>Scenario testing and approval gates</w:t>
            </w:r>
          </w:p>
        </w:tc>
        <w:tc>
          <w:tcPr>
            <w:tcW w:type="dxa" w:w="2520"/>
            <w:vAlign w:val="center"/>
          </w:tcPr>
          <w:p>
            <w:r/>
            <w:r>
              <w:rPr>
                <w:b w:val="0"/>
                <w:sz w:val="18"/>
              </w:rPr>
              <w:t>Manual operating procedure</w:t>
            </w:r>
          </w:p>
        </w:tc>
      </w:tr>
    </w:tbl>
    <w:p>
      <w:pPr>
        <w:pStyle w:val="Heading1"/>
      </w:pPr>
      <w:r>
        <w:t>9. Progress KPIs and Success Criteria</w:t>
      </w:r>
    </w:p>
    <w:p>
      <w:pPr>
        <w:pStyle w:val="ListBullet"/>
        <w:spacing w:after="40"/>
      </w:pPr>
      <w:r>
        <w:t>Data quality: percentage of records passing required validation checks.</w:t>
      </w:r>
    </w:p>
    <w:p>
      <w:pPr>
        <w:pStyle w:val="ListBullet"/>
        <w:spacing w:after="40"/>
      </w:pPr>
      <w:r>
        <w:t>Forecast performance: MAE and RMSE compared with a simple baseline.</w:t>
      </w:r>
    </w:p>
    <w:p>
      <w:pPr>
        <w:pStyle w:val="ListBullet"/>
        <w:spacing w:after="40"/>
      </w:pPr>
      <w:r>
        <w:t>Risk classification: precision, recall and F1-score for disruption-risk alerts.</w:t>
      </w:r>
    </w:p>
    <w:p>
      <w:pPr>
        <w:pStyle w:val="ListBullet"/>
        <w:spacing w:after="40"/>
      </w:pPr>
      <w:r>
        <w:t>Operational value: reduction in stockouts, excess inventory or avoidable emergency orders.</w:t>
      </w:r>
    </w:p>
    <w:p>
      <w:pPr>
        <w:pStyle w:val="ListBullet"/>
        <w:spacing w:after="40"/>
      </w:pPr>
      <w:r>
        <w:t>System reliability: API availability, response time and failed-request rate.</w:t>
      </w:r>
    </w:p>
    <w:p>
      <w:pPr>
        <w:pStyle w:val="ListBullet"/>
        <w:spacing w:after="40"/>
      </w:pPr>
      <w:r>
        <w:t>Adoption: percentage of pilot users actively using the system and acting on recommendations.</w:t>
      </w:r>
    </w:p>
    <w:p>
      <w:pPr>
        <w:pStyle w:val="ListBullet"/>
        <w:spacing w:after="40"/>
      </w:pPr>
      <w:r>
        <w:t>Responsible AI: number of unresolved privacy/security incidents, documented model changes and fairness-test results.</w:t>
      </w:r>
    </w:p>
    <w:p>
      <w:pPr>
        <w:pStyle w:val="ListBullet"/>
        <w:spacing w:after="40"/>
      </w:pPr>
      <w:r>
        <w:t>User satisfaction: feedback score and percentage of recommendations considered useful.</w:t>
      </w:r>
    </w:p>
    <w:p>
      <w:pPr>
        <w:pStyle w:val="Heading1"/>
      </w:pPr>
      <w:r>
        <w:t>10. Validation and Testing Strategy</w:t>
      </w:r>
    </w:p>
    <w:p>
      <w:pPr>
        <w:pStyle w:val="ListBullet"/>
        <w:spacing w:after="40"/>
      </w:pPr>
      <w:r>
        <w:t>Unit testing for preprocessing, feature engineering and prediction components.</w:t>
      </w:r>
    </w:p>
    <w:p>
      <w:pPr>
        <w:pStyle w:val="ListBullet"/>
        <w:spacing w:after="40"/>
      </w:pPr>
      <w:r>
        <w:t>Data validation tests for missing values, schema changes, duplicates and unexpected ranges.</w:t>
      </w:r>
    </w:p>
    <w:p>
      <w:pPr>
        <w:pStyle w:val="ListBullet"/>
        <w:spacing w:after="40"/>
      </w:pPr>
      <w:r>
        <w:t>Time-aware train/validation/test splits to avoid leakage from future periods.</w:t>
      </w:r>
    </w:p>
    <w:p>
      <w:pPr>
        <w:pStyle w:val="ListBullet"/>
        <w:spacing w:after="40"/>
      </w:pPr>
      <w:r>
        <w:t>Cross-validation or rolling-origin validation where appropriate for forecasting.</w:t>
      </w:r>
    </w:p>
    <w:p>
      <w:pPr>
        <w:pStyle w:val="ListBullet"/>
        <w:spacing w:after="40"/>
      </w:pPr>
      <w:r>
        <w:t>Scenario testing for demand spikes, supplier delays, missing data and unusual events.</w:t>
      </w:r>
    </w:p>
    <w:p>
      <w:pPr>
        <w:pStyle w:val="ListBullet"/>
        <w:spacing w:after="40"/>
      </w:pPr>
      <w:r>
        <w:t>Security testing covering authentication, authorization and common application vulnerabilities.</w:t>
      </w:r>
    </w:p>
    <w:p>
      <w:pPr>
        <w:pStyle w:val="ListBullet"/>
        <w:spacing w:after="40"/>
      </w:pPr>
      <w:r>
        <w:t>User acceptance testing with realistic workflows.</w:t>
      </w:r>
    </w:p>
    <w:p>
      <w:pPr>
        <w:pStyle w:val="ListBullet"/>
        <w:spacing w:after="40"/>
      </w:pPr>
      <w:r>
        <w:t>Pilot/A-B comparison against the existing decision process before full rollout.</w:t>
      </w:r>
    </w:p>
    <w:p>
      <w:pPr>
        <w:pStyle w:val="Heading1"/>
      </w:pPr>
      <w:r>
        <w:t>11. Governance and Continuous Improvement</w:t>
      </w:r>
    </w:p>
    <w:p>
      <w:r>
        <w:t>Every production model should have a version, owner, training-data reference, evaluation report and approval record. Monitoring should distinguish between technical failures and genuine changes in business behavior. Feedback from users should be captured as structured signals rather than informal comments alone. A new model version should pass the same validation and responsible-AI checks as the original before deployment.</w:t>
      </w:r>
    </w:p>
    <w:p>
      <w:pPr>
        <w:pStyle w:val="Heading1"/>
      </w:pPr>
      <w:r>
        <w:t>12. Final Deployment Checklist</w:t>
      </w:r>
    </w:p>
    <w:p>
      <w:pPr>
        <w:pStyle w:val="ListBullet"/>
        <w:spacing w:after="40"/>
      </w:pPr>
      <w:r>
        <w:t>Business requirements and approval responsibilities documented.</w:t>
      </w:r>
    </w:p>
    <w:p>
      <w:pPr>
        <w:pStyle w:val="ListBullet"/>
        <w:spacing w:after="40"/>
      </w:pPr>
      <w:r>
        <w:t>Data sources, permissions, retention and quality rules documented.</w:t>
      </w:r>
    </w:p>
    <w:p>
      <w:pPr>
        <w:pStyle w:val="ListBullet"/>
        <w:spacing w:after="40"/>
      </w:pPr>
      <w:r>
        <w:t>Model performance meets predefined thresholds.</w:t>
      </w:r>
    </w:p>
    <w:p>
      <w:pPr>
        <w:pStyle w:val="ListBullet"/>
        <w:spacing w:after="40"/>
      </w:pPr>
      <w:r>
        <w:t>Bias, robustness and explainability checks completed.</w:t>
      </w:r>
    </w:p>
    <w:p>
      <w:pPr>
        <w:pStyle w:val="ListBullet"/>
        <w:spacing w:after="40"/>
      </w:pPr>
      <w:r>
        <w:t>Security and privacy controls reviewed.</w:t>
      </w:r>
    </w:p>
    <w:p>
      <w:pPr>
        <w:pStyle w:val="ListBullet"/>
        <w:spacing w:after="40"/>
      </w:pPr>
      <w:r>
        <w:t>Dashboard/API tested end-to-end.</w:t>
      </w:r>
    </w:p>
    <w:p>
      <w:pPr>
        <w:pStyle w:val="ListBullet"/>
        <w:spacing w:after="40"/>
      </w:pPr>
      <w:r>
        <w:t>Rollback and incident-response procedures prepared.</w:t>
      </w:r>
    </w:p>
    <w:p>
      <w:pPr>
        <w:pStyle w:val="ListBullet"/>
        <w:spacing w:after="40"/>
      </w:pPr>
      <w:r>
        <w:t>Pilot results reviewed and signed off.</w:t>
      </w:r>
    </w:p>
    <w:p>
      <w:pPr>
        <w:pStyle w:val="ListBullet"/>
        <w:spacing w:after="40"/>
      </w:pPr>
      <w:r>
        <w:t>Monitoring and retraining process active.</w:t>
      </w:r>
    </w:p>
    <w:p>
      <w:pPr>
        <w:pStyle w:val="ListBullet"/>
        <w:spacing w:after="40"/>
      </w:pPr>
      <w:r>
        <w:t>User training and documentation completed.</w:t>
      </w:r>
    </w:p>
    <w:p>
      <w:pPr>
        <w:pStyle w:val="Heading1"/>
      </w:pPr>
      <w:r>
        <w:t>13. Conclusion</w:t>
      </w:r>
    </w:p>
    <w:p>
      <w:r>
        <w:t>The SupplySense AI implementation roadmap provides a practical path from an academic AI concept to a responsible production-oriented solution. The phased approach reduces implementation risk by validating data, models and user workflows before scaling. Equally important, privacy, fairness, explainability, security and human oversight are treated as design requirements rather than afterthoughts. With measurable milestones, contingency plans and continuous monitoring, SupplySense AI can evolve into a reliable decision-support platform while keeping business users accountable for final operational decisions.</w:t>
      </w:r>
    </w:p>
    <w:p>
      <w:pPr>
        <w:pStyle w:val="Heading1"/>
      </w:pPr>
      <w:r>
        <w:t>14. References / Guidelines</w:t>
      </w:r>
    </w:p>
    <w:p>
      <w:pPr>
        <w:pStyle w:val="ListBullet"/>
      </w:pPr>
      <w:r>
        <w:t>National Institute of Standards and Technology (NIST). Artificial Intelligence Risk Management Framework (AI RMF 1.0).</w:t>
      </w:r>
    </w:p>
    <w:p>
      <w:pPr>
        <w:pStyle w:val="ListBullet"/>
      </w:pPr>
      <w:r>
        <w:t>NIST. Artificial Intelligence Risk Management Framework: Generative Artificial Intelligence Profile (NIST AI 600-1).</w:t>
      </w:r>
    </w:p>
    <w:p>
      <w:pPr>
        <w:pStyle w:val="ListBullet"/>
      </w:pPr>
      <w:r>
        <w:t>European Commission. Regulatory framework and implementation information for the EU Artificial Intelligence Act.</w:t>
      </w:r>
    </w:p>
    <w:p>
      <w:pPr>
        <w:pStyle w:val="ListBullet"/>
      </w:pPr>
      <w:r>
        <w:t>Stanford Institute for Human-Centered Artificial Intelligence. AI Index Report — recent trends in organizational AI adoption and AI capability.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