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03366"/>
          <w:sz w:val="32"/>
        </w:rPr>
        <w:t>SIMATS ENGINEERING</w:t>
      </w:r>
    </w:p>
    <w:p>
      <w:pPr>
        <w:spacing w:after="240"/>
        <w:jc w:val="center"/>
      </w:pPr>
      <w:r>
        <w:rPr>
          <w:rFonts w:ascii="Arial" w:hAnsi="Arial"/>
          <w:b/>
          <w:color w:val="666666"/>
          <w:sz w:val="24"/>
        </w:rPr>
        <w:t>ASSESSMENT TOOL 2 — APPLICATION BASED QUESTIONS</w:t>
        <w:br/>
        <w:t>Reinforcement Learning for Environment and Agent (MLA03)</w:t>
      </w:r>
    </w:p>
    <w:tbl>
      <w:tblPr>
        <w:tblW w:type="auto" w:w="0"/>
        <w:jc w:val="center"/>
        <w:tblLook w:firstColumn="1" w:firstRow="1" w:lastColumn="0" w:lastRow="0" w:noHBand="0" w:noVBand="1" w:val="04A0"/>
      </w:tblPr>
      <w:tblGrid>
        <w:gridCol w:w="4680"/>
        <w:gridCol w:w="4680"/>
      </w:tblGrid>
      <w:tr>
        <w:tc>
          <w:tcPr>
            <w:tcW w:type="dxa" w:w="4680"/>
            <w:shd w:fill="F8F9FA"/>
            <w:tcMar>
              <w:top w:w="80" w:type="dxa"/>
              <w:bottom w:w="80" w:type="dxa"/>
              <w:left w:w="120" w:type="dxa"/>
              <w:right w:w="120" w:type="dxa"/>
            </w:tcMar>
          </w:tcPr>
          <w:p>
            <w:pPr>
              <w:spacing w:after="0"/>
            </w:pPr>
            <w:r>
              <w:rPr>
                <w:rFonts w:ascii="Calibri" w:hAnsi="Calibri"/>
                <w:b/>
                <w:sz w:val="20"/>
              </w:rPr>
              <w:t>Student Name:</w:t>
            </w:r>
            <w:r>
              <w:rPr>
                <w:rFonts w:ascii="Calibri" w:hAnsi="Calibri"/>
                <w:sz w:val="20"/>
              </w:rPr>
              <w:t xml:space="preserve"> Thanuja R</w:t>
            </w:r>
          </w:p>
        </w:tc>
        <w:tc>
          <w:tcPr>
            <w:tcW w:type="dxa" w:w="4680"/>
            <w:shd w:fill="F8F9FA"/>
            <w:tcMar>
              <w:top w:w="80" w:type="dxa"/>
              <w:bottom w:w="80" w:type="dxa"/>
              <w:left w:w="120" w:type="dxa"/>
              <w:right w:w="120" w:type="dxa"/>
            </w:tcMar>
          </w:tcPr>
          <w:p>
            <w:pPr>
              <w:spacing w:after="0"/>
            </w:pPr>
            <w:r>
              <w:rPr>
                <w:rFonts w:ascii="Calibri" w:hAnsi="Calibri"/>
                <w:b/>
                <w:sz w:val="20"/>
              </w:rPr>
              <w:t>Course Name:</w:t>
            </w:r>
            <w:r>
              <w:rPr>
                <w:rFonts w:ascii="Calibri" w:hAnsi="Calibri"/>
                <w:sz w:val="20"/>
              </w:rPr>
              <w:t xml:space="preserve"> Reinforcement Learning for Environment &amp; Agent</w:t>
            </w:r>
          </w:p>
        </w:tc>
      </w:tr>
      <w:tr>
        <w:tc>
          <w:tcPr>
            <w:tcW w:type="dxa" w:w="4680"/>
            <w:shd w:fill="F8F9FA"/>
            <w:tcMar>
              <w:top w:w="80" w:type="dxa"/>
              <w:bottom w:w="80" w:type="dxa"/>
              <w:left w:w="120" w:type="dxa"/>
              <w:right w:w="120" w:type="dxa"/>
            </w:tcMar>
          </w:tcPr>
          <w:p>
            <w:pPr>
              <w:spacing w:after="0"/>
            </w:pPr>
            <w:r>
              <w:rPr>
                <w:rFonts w:ascii="Calibri" w:hAnsi="Calibri"/>
                <w:b/>
                <w:sz w:val="20"/>
              </w:rPr>
              <w:t>Register No:</w:t>
            </w:r>
            <w:r>
              <w:rPr>
                <w:rFonts w:ascii="Calibri" w:hAnsi="Calibri"/>
                <w:sz w:val="20"/>
              </w:rPr>
              <w:t xml:space="preserve"> 192325004</w:t>
            </w:r>
          </w:p>
        </w:tc>
        <w:tc>
          <w:tcPr>
            <w:tcW w:type="dxa" w:w="4680"/>
            <w:shd w:fill="F8F9FA"/>
            <w:tcMar>
              <w:top w:w="80" w:type="dxa"/>
              <w:bottom w:w="80" w:type="dxa"/>
              <w:left w:w="120" w:type="dxa"/>
              <w:right w:w="120" w:type="dxa"/>
            </w:tcMar>
          </w:tcPr>
          <w:p>
            <w:pPr>
              <w:spacing w:after="0"/>
            </w:pPr>
            <w:r>
              <w:rPr>
                <w:rFonts w:ascii="Calibri" w:hAnsi="Calibri"/>
                <w:b/>
                <w:sz w:val="20"/>
              </w:rPr>
              <w:t>Course Code / Outcome:</w:t>
            </w:r>
            <w:r>
              <w:rPr>
                <w:rFonts w:ascii="Calibri" w:hAnsi="Calibri"/>
                <w:sz w:val="20"/>
              </w:rPr>
              <w:t xml:space="preserve"> MLA03 / CO2 (BL2, BL3)</w:t>
            </w:r>
          </w:p>
        </w:tc>
      </w:tr>
      <w:tr>
        <w:tc>
          <w:tcPr>
            <w:tcW w:type="dxa" w:w="4680"/>
            <w:shd w:fill="F8F9FA"/>
            <w:tcMar>
              <w:top w:w="80" w:type="dxa"/>
              <w:bottom w:w="80" w:type="dxa"/>
              <w:left w:w="120" w:type="dxa"/>
              <w:right w:w="120" w:type="dxa"/>
            </w:tcMar>
          </w:tcPr>
          <w:p>
            <w:pPr>
              <w:spacing w:after="0"/>
            </w:pPr>
            <w:r>
              <w:rPr>
                <w:rFonts w:ascii="Calibri" w:hAnsi="Calibri"/>
                <w:b/>
                <w:sz w:val="20"/>
              </w:rPr>
              <w:t>Institution:</w:t>
            </w:r>
            <w:r>
              <w:rPr>
                <w:rFonts w:ascii="Calibri" w:hAnsi="Calibri"/>
                <w:sz w:val="20"/>
              </w:rPr>
              <w:t xml:space="preserve"> SIMATS Engineering</w:t>
            </w:r>
          </w:p>
        </w:tc>
        <w:tc>
          <w:tcPr>
            <w:tcW w:type="dxa" w:w="4680"/>
            <w:shd w:fill="F8F9FA"/>
            <w:tcMar>
              <w:top w:w="80" w:type="dxa"/>
              <w:bottom w:w="80" w:type="dxa"/>
              <w:left w:w="120" w:type="dxa"/>
              <w:right w:w="120" w:type="dxa"/>
            </w:tcMar>
          </w:tcPr>
          <w:p>
            <w:pPr>
              <w:spacing w:after="0"/>
            </w:pPr>
            <w:r>
              <w:rPr>
                <w:rFonts w:ascii="Calibri" w:hAnsi="Calibri"/>
                <w:b/>
                <w:sz w:val="20"/>
              </w:rPr>
              <w:t>Course Instructor:</w:t>
            </w:r>
            <w:r>
              <w:rPr>
                <w:rFonts w:ascii="Calibri" w:hAnsi="Calibri"/>
                <w:sz w:val="20"/>
              </w:rPr>
              <w:t xml:space="preserve"> Dr. DUMPALA PRASANTH</w:t>
            </w:r>
          </w:p>
        </w:tc>
      </w:tr>
    </w:tbl>
    <w:p>
      <w:pPr>
        <w:spacing w:after="200"/>
      </w:pPr>
    </w:p>
    <w:p>
      <w:pPr>
        <w:keepNext/>
        <w:spacing w:before="280" w:after="120"/>
      </w:pPr>
      <w:r>
        <w:rPr>
          <w:rFonts w:ascii="Arial" w:hAnsi="Arial"/>
          <w:b/>
          <w:color w:val="003366"/>
          <w:sz w:val="28"/>
        </w:rPr>
        <w:t>Question 1: Ride-Sharing Driver-Passenger Matching Framework</w:t>
      </w:r>
    </w:p>
    <w:p>
      <w:pPr>
        <w:keepNext/>
        <w:spacing w:before="200" w:after="80"/>
      </w:pPr>
      <w:r>
        <w:rPr>
          <w:rFonts w:ascii="Arial" w:hAnsi="Arial"/>
          <w:b/>
          <w:color w:val="333333"/>
          <w:sz w:val="24"/>
        </w:rPr>
        <w:t>1. System Architecture &amp; Problem Statement</w:t>
      </w:r>
    </w:p>
    <w:p>
      <w:pPr>
        <w:spacing w:before="0" w:after="80" w:line="276" w:lineRule="auto"/>
      </w:pPr>
      <w:r>
        <w:rPr>
          <w:rFonts w:ascii="Calibri" w:hAnsi="Calibri"/>
          <w:i w:val="0"/>
          <w:color w:val="222222"/>
          <w:sz w:val="22"/>
        </w:rPr>
        <w:t>Ride-sharing platforms (e.g., Uber, Lyft) operate in highly dynamic, non-stationary spatial environments. Traditional rule-based algorithms (such as First-Come-First-Served or simple Euclidean distance matching) frequently result in local sub-optimality, causing excessive passenger wait times, increased driver idle travel, and fleet spatial imbalance. An RL-based framework solves this dynamic dispatch problem by framing it as a Markov Decision Process (MDP) that balances immediate pickup efficiency with long-term spatial supply-demand alignment.</w:t>
      </w:r>
    </w:p>
    <w:p>
      <w:pPr>
        <w:keepNext/>
        <w:spacing w:before="200" w:after="80"/>
      </w:pPr>
      <w:r>
        <w:rPr>
          <w:rFonts w:ascii="Arial" w:hAnsi="Arial"/>
          <w:b/>
          <w:color w:val="333333"/>
          <w:sz w:val="24"/>
        </w:rPr>
        <w:t>2. Formal MDP Definition</w:t>
      </w:r>
    </w:p>
    <w:p>
      <w:pPr>
        <w:pStyle w:val="ListBullet"/>
        <w:spacing w:before="0" w:after="60" w:line="276" w:lineRule="auto"/>
        <w:ind w:left="360"/>
      </w:pPr>
      <w:r>
        <w:rPr>
          <w:rFonts w:ascii="Calibri" w:hAnsi="Calibri"/>
          <w:b/>
          <w:color w:val="222222"/>
          <w:sz w:val="22"/>
        </w:rPr>
        <w:t xml:space="preserve">State Space (S): </w:t>
      </w:r>
      <w:r>
        <w:rPr>
          <w:rFonts w:ascii="Calibri" w:hAnsi="Calibri"/>
          <w:color w:val="222222"/>
          <w:sz w:val="22"/>
        </w:rPr>
        <w:t>At discrete time step t, the system state St ∈ S captures spatial, temporal, and supply-demand variables:</w:t>
      </w:r>
    </w:p>
    <w:p>
      <w:pPr>
        <w:pStyle w:val="ListBullet"/>
        <w:spacing w:before="0" w:after="60" w:line="276" w:lineRule="auto"/>
        <w:ind w:left="720"/>
      </w:pPr>
      <w:r>
        <w:rPr>
          <w:rFonts w:ascii="Calibri" w:hAnsi="Calibri"/>
          <w:b/>
          <w:color w:val="222222"/>
          <w:sz w:val="22"/>
        </w:rPr>
        <w:t xml:space="preserve">Spatial Discretization: </w:t>
      </w:r>
      <w:r>
        <w:rPr>
          <w:rFonts w:ascii="Calibri" w:hAnsi="Calibri"/>
          <w:color w:val="222222"/>
          <w:sz w:val="22"/>
        </w:rPr>
        <w:t>The geographical service zone divided into hexagonal grids (e.g., Uber H3 spatial index) g ∈ G.</w:t>
      </w:r>
    </w:p>
    <w:p>
      <w:pPr>
        <w:pStyle w:val="ListBullet"/>
        <w:spacing w:before="0" w:after="60" w:line="276" w:lineRule="auto"/>
        <w:ind w:left="720"/>
      </w:pPr>
      <w:r>
        <w:rPr>
          <w:rFonts w:ascii="Calibri" w:hAnsi="Calibri"/>
          <w:b/>
          <w:color w:val="222222"/>
          <w:sz w:val="22"/>
        </w:rPr>
        <w:t xml:space="preserve">Supply State: </w:t>
      </w:r>
      <w:r>
        <w:rPr>
          <w:rFonts w:ascii="Calibri" w:hAnsi="Calibri"/>
          <w:color w:val="222222"/>
          <w:sz w:val="22"/>
        </w:rPr>
        <w:t>Vector of available driver counts Dg(t) per grid g, along with individual driver statuses (idle, en route, trip in progress).</w:t>
      </w:r>
    </w:p>
    <w:p>
      <w:pPr>
        <w:pStyle w:val="ListBullet"/>
        <w:spacing w:before="0" w:after="60" w:line="276" w:lineRule="auto"/>
        <w:ind w:left="720"/>
      </w:pPr>
      <w:r>
        <w:rPr>
          <w:rFonts w:ascii="Calibri" w:hAnsi="Calibri"/>
          <w:b/>
          <w:color w:val="222222"/>
          <w:sz w:val="22"/>
        </w:rPr>
        <w:t xml:space="preserve">Demand State: </w:t>
      </w:r>
      <w:r>
        <w:rPr>
          <w:rFonts w:ascii="Calibri" w:hAnsi="Calibri"/>
          <w:color w:val="222222"/>
          <w:sz w:val="22"/>
        </w:rPr>
        <w:t>Vector of active unassigned passenger requests Pg(t) per grid g.</w:t>
      </w:r>
    </w:p>
    <w:p>
      <w:pPr>
        <w:pStyle w:val="ListBullet"/>
        <w:spacing w:before="0" w:after="60" w:line="276" w:lineRule="auto"/>
        <w:ind w:left="720"/>
      </w:pPr>
      <w:r>
        <w:rPr>
          <w:rFonts w:ascii="Calibri" w:hAnsi="Calibri"/>
          <w:b/>
          <w:color w:val="222222"/>
          <w:sz w:val="22"/>
        </w:rPr>
        <w:t xml:space="preserve">Contextual Features: </w:t>
      </w:r>
      <w:r>
        <w:rPr>
          <w:rFonts w:ascii="Calibri" w:hAnsi="Calibri"/>
          <w:color w:val="222222"/>
          <w:sz w:val="22"/>
        </w:rPr>
        <w:t>Time-of-day, day-of-week, current weather conditions, and real-time traffic congestion indices.</w:t>
      </w:r>
    </w:p>
    <w:p>
      <w:pPr>
        <w:pStyle w:val="ListBullet"/>
        <w:spacing w:before="0" w:after="60" w:line="276" w:lineRule="auto"/>
        <w:ind w:left="720"/>
      </w:pPr>
      <w:r>
        <w:rPr>
          <w:rFonts w:ascii="Calibri" w:hAnsi="Calibri"/>
          <w:b/>
          <w:color w:val="222222"/>
          <w:sz w:val="22"/>
        </w:rPr>
        <w:t xml:space="preserve">Trip Specifics: </w:t>
      </w:r>
      <w:r>
        <w:rPr>
          <w:rFonts w:ascii="Calibri" w:hAnsi="Calibri"/>
          <w:color w:val="222222"/>
          <w:sz w:val="22"/>
        </w:rPr>
        <w:t>Expected Origin-Destination (O-D) matrix for active requests.</w:t>
      </w:r>
    </w:p>
    <w:p>
      <w:pPr>
        <w:pStyle w:val="ListBullet"/>
        <w:spacing w:before="0" w:after="60" w:line="276" w:lineRule="auto"/>
        <w:ind w:left="360"/>
      </w:pPr>
      <w:r>
        <w:rPr>
          <w:rFonts w:ascii="Calibri" w:hAnsi="Calibri"/>
          <w:b/>
          <w:color w:val="222222"/>
          <w:sz w:val="22"/>
        </w:rPr>
        <w:t xml:space="preserve">Action Space (A): </w:t>
      </w:r>
      <w:r>
        <w:rPr>
          <w:rFonts w:ascii="Calibri" w:hAnsi="Calibri"/>
          <w:color w:val="222222"/>
          <w:sz w:val="22"/>
        </w:rPr>
        <w:t>The global action At ∈ A at time t consists of joint dispatch and rebalancing decisions:</w:t>
      </w:r>
    </w:p>
    <w:p>
      <w:pPr>
        <w:pStyle w:val="ListBullet"/>
        <w:spacing w:before="0" w:after="60" w:line="276" w:lineRule="auto"/>
        <w:ind w:left="720"/>
      </w:pPr>
      <w:r>
        <w:rPr>
          <w:rFonts w:ascii="Calibri" w:hAnsi="Calibri"/>
          <w:b/>
          <w:color w:val="222222"/>
          <w:sz w:val="22"/>
        </w:rPr>
        <w:t xml:space="preserve">Matching Actions (aij): </w:t>
      </w:r>
      <w:r>
        <w:rPr>
          <w:rFonts w:ascii="Calibri" w:hAnsi="Calibri"/>
          <w:color w:val="222222"/>
          <w:sz w:val="22"/>
        </w:rPr>
        <w:t>Assigning available driver di to passenger request pj.</w:t>
      </w:r>
    </w:p>
    <w:p>
      <w:pPr>
        <w:pStyle w:val="ListBullet"/>
        <w:spacing w:before="0" w:after="60" w:line="276" w:lineRule="auto"/>
        <w:ind w:left="720"/>
      </w:pPr>
      <w:r>
        <w:rPr>
          <w:rFonts w:ascii="Calibri" w:hAnsi="Calibri"/>
          <w:b/>
          <w:color w:val="222222"/>
          <w:sz w:val="22"/>
        </w:rPr>
        <w:t xml:space="preserve">Rebalancing Actions (ak→m): </w:t>
      </w:r>
      <w:r>
        <w:rPr>
          <w:rFonts w:ascii="Calibri" w:hAnsi="Calibri"/>
          <w:color w:val="222222"/>
          <w:sz w:val="22"/>
        </w:rPr>
        <w:t>Directing an unassigned idle driver in grid k to relocate to adjacent high-demand grid m.</w:t>
      </w:r>
    </w:p>
    <w:p>
      <w:pPr>
        <w:pStyle w:val="ListBullet"/>
        <w:spacing w:before="0" w:after="60" w:line="276" w:lineRule="auto"/>
        <w:ind w:left="720"/>
      </w:pPr>
      <w:r>
        <w:rPr>
          <w:rFonts w:ascii="Calibri" w:hAnsi="Calibri"/>
          <w:b/>
          <w:color w:val="222222"/>
          <w:sz w:val="22"/>
        </w:rPr>
        <w:t xml:space="preserve">Null Actions (aidle): </w:t>
      </w:r>
      <w:r>
        <w:rPr>
          <w:rFonts w:ascii="Calibri" w:hAnsi="Calibri"/>
          <w:color w:val="222222"/>
          <w:sz w:val="22"/>
        </w:rPr>
        <w:t>Instructing an unassigned driver to remain parked in their current zone.</w:t>
      </w:r>
    </w:p>
    <w:p>
      <w:pPr>
        <w:pStyle w:val="ListBullet"/>
        <w:spacing w:before="0" w:after="60" w:line="276" w:lineRule="auto"/>
        <w:ind w:left="360"/>
      </w:pPr>
      <w:r>
        <w:rPr>
          <w:rFonts w:ascii="Calibri" w:hAnsi="Calibri"/>
          <w:b/>
          <w:color w:val="222222"/>
          <w:sz w:val="22"/>
        </w:rPr>
        <w:t xml:space="preserve">Reward Function (R): </w:t>
      </w:r>
      <w:r>
        <w:rPr>
          <w:rFonts w:ascii="Calibri" w:hAnsi="Calibri"/>
          <w:color w:val="222222"/>
          <w:sz w:val="22"/>
        </w:rPr>
        <w:t>The immediate reward function R(s, a, s') multi-objectively balances customer satisfaction, operational costs, and platform efficiency: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Reward Objective: </w:t>
            </w:r>
            <w:r>
              <w:rPr>
                <w:rFonts w:ascii="Calibri" w:hAnsi="Calibri"/>
                <w:i/>
                <w:color w:val="333333"/>
                <w:sz w:val="21"/>
              </w:rPr>
              <w:t>Rt = ∑ [ Fare(pj) − α · Twait(di, pj) − β · Dpickup(di, pj) ] − γ ∑ Crelocate(k, m) − δ · Pcancellation</w:t>
            </w:r>
          </w:p>
        </w:tc>
      </w:tr>
    </w:tbl>
    <w:p>
      <w:pPr>
        <w:spacing w:after="80"/>
      </w:pPr>
    </w:p>
    <w:p>
      <w:pPr>
        <w:pStyle w:val="ListBullet"/>
        <w:spacing w:before="0" w:after="60" w:line="276" w:lineRule="auto"/>
        <w:ind w:left="720"/>
      </w:pPr>
      <w:r>
        <w:rPr>
          <w:rFonts w:ascii="Calibri" w:hAnsi="Calibri"/>
          <w:color w:val="222222"/>
          <w:sz w:val="22"/>
        </w:rPr>
        <w:t>Twait: Estimated Wait Time (EWT) between request and pickup.</w:t>
      </w:r>
    </w:p>
    <w:p>
      <w:pPr>
        <w:pStyle w:val="ListBullet"/>
        <w:spacing w:before="0" w:after="60" w:line="276" w:lineRule="auto"/>
        <w:ind w:left="720"/>
      </w:pPr>
      <w:r>
        <w:rPr>
          <w:rFonts w:ascii="Calibri" w:hAnsi="Calibri"/>
          <w:color w:val="222222"/>
          <w:sz w:val="22"/>
        </w:rPr>
        <w:t>Dpickup: En-route distance driven without a paying fare.</w:t>
      </w:r>
    </w:p>
    <w:p>
      <w:pPr>
        <w:pStyle w:val="ListBullet"/>
        <w:spacing w:before="0" w:after="60" w:line="276" w:lineRule="auto"/>
        <w:ind w:left="720"/>
      </w:pPr>
      <w:r>
        <w:rPr>
          <w:rFonts w:ascii="Calibri" w:hAnsi="Calibri"/>
          <w:color w:val="222222"/>
          <w:sz w:val="22"/>
        </w:rPr>
        <w:t>Crelocate: Fuel/time cost incurred during proactive fleet rebalancing.</w:t>
      </w:r>
    </w:p>
    <w:p>
      <w:pPr>
        <w:pStyle w:val="ListBullet"/>
        <w:spacing w:before="0" w:after="60" w:line="276" w:lineRule="auto"/>
        <w:ind w:left="720"/>
      </w:pPr>
      <w:r>
        <w:rPr>
          <w:rFonts w:ascii="Calibri" w:hAnsi="Calibri"/>
          <w:color w:val="222222"/>
          <w:sz w:val="22"/>
        </w:rPr>
        <w:t>Pcancellation: Penalty for passenger cancellations caused by excessive delays.</w:t>
      </w:r>
    </w:p>
    <w:p>
      <w:pPr>
        <w:keepNext/>
        <w:spacing w:before="200" w:after="80"/>
      </w:pPr>
      <w:r>
        <w:rPr>
          <w:rFonts w:ascii="Arial" w:hAnsi="Arial"/>
          <w:b/>
          <w:color w:val="333333"/>
          <w:sz w:val="24"/>
        </w:rPr>
        <w:t>3. Mathematical Optimization &amp; Dynamic Programming Formulation</w:t>
      </w:r>
    </w:p>
    <w:p>
      <w:pPr>
        <w:spacing w:before="0" w:after="80" w:line="276" w:lineRule="auto"/>
      </w:pPr>
      <w:r>
        <w:rPr>
          <w:rFonts w:ascii="Calibri" w:hAnsi="Calibri"/>
          <w:i w:val="0"/>
          <w:color w:val="222222"/>
          <w:sz w:val="22"/>
        </w:rPr>
        <w:t>The platform aims to learn an optimal matching policy π*(a|s) that maximizes expected cumulative discounted returns over a horizon 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Value Function: </w:t>
            </w:r>
            <w:r>
              <w:rPr>
                <w:rFonts w:ascii="Calibri" w:hAnsi="Calibri"/>
                <w:i/>
                <w:color w:val="333333"/>
                <w:sz w:val="21"/>
              </w:rPr>
              <w:t>V^π(s) = E_π [ ∑ (γ^k · R_{t+k+1}) | St = s ]</w:t>
            </w:r>
          </w:p>
        </w:tc>
      </w:tr>
    </w:tbl>
    <w:p>
      <w:pPr>
        <w:spacing w:after="80"/>
      </w:pPr>
    </w:p>
    <w:p>
      <w:pPr>
        <w:spacing w:before="0" w:after="80" w:line="276" w:lineRule="auto"/>
      </w:pPr>
      <w:r>
        <w:rPr>
          <w:rFonts w:ascii="Calibri" w:hAnsi="Calibri"/>
          <w:i w:val="0"/>
          <w:color w:val="222222"/>
          <w:sz w:val="22"/>
        </w:rPr>
        <w:t>Using the Dynamic Programming Bellman Optimality Equation: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Bellman Optimality Equation: </w:t>
            </w:r>
            <w:r>
              <w:rPr>
                <w:rFonts w:ascii="Calibri" w:hAnsi="Calibri"/>
                <w:i/>
                <w:color w:val="333333"/>
                <w:sz w:val="21"/>
              </w:rPr>
              <w:t>V*(s) = max_{a ∈ A} [ R(s,a) + γ ∑ P(s'|s,a) V*(s') ]</w:t>
            </w:r>
          </w:p>
        </w:tc>
      </w:tr>
    </w:tbl>
    <w:p>
      <w:pPr>
        <w:spacing w:after="80"/>
      </w:pPr>
    </w:p>
    <w:p>
      <w:pPr>
        <w:spacing w:before="0" w:after="80" w:line="276" w:lineRule="auto"/>
      </w:pPr>
      <w:r>
        <w:rPr>
          <w:rFonts w:ascii="Calibri" w:hAnsi="Calibri"/>
          <w:i w:val="0"/>
          <w:color w:val="222222"/>
          <w:sz w:val="22"/>
        </w:rPr>
        <w:t>In practice, the system uses Bipartite Graph Matching (e.g., Hungarian Algorithm / Kuhn-Munkres) at each decision epoch t, where the edge weight between driver i and request j is set to:</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Edge Weight: </w:t>
            </w:r>
            <w:r>
              <w:rPr>
                <w:rFonts w:ascii="Calibri" w:hAnsi="Calibri"/>
                <w:i/>
                <w:color w:val="333333"/>
                <w:sz w:val="21"/>
              </w:rPr>
              <w:t>W(i, j) = R_immediate(i, j) + γ · V*(s_destination)</w:t>
            </w:r>
          </w:p>
        </w:tc>
      </w:tr>
    </w:tbl>
    <w:p>
      <w:pPr>
        <w:spacing w:after="80"/>
      </w:pPr>
    </w:p>
    <w:p>
      <w:pPr>
        <w:spacing w:before="0" w:after="80" w:line="276" w:lineRule="auto"/>
      </w:pPr>
      <w:r>
        <w:rPr>
          <w:rFonts w:ascii="Calibri" w:hAnsi="Calibri"/>
          <w:i w:val="0"/>
          <w:color w:val="222222"/>
          <w:sz w:val="22"/>
        </w:rPr>
        <w:t>By factoring in V*(s_destination), the system avoids sending drivers to 'dead zones' (low-demand regions where they will stay idle post-drop-off), minimizing long-term average wait times across the entire city network.</w:t>
      </w:r>
    </w:p>
    <w:p>
      <w:pPr>
        <w:keepNext/>
        <w:spacing w:before="280" w:after="120"/>
      </w:pPr>
      <w:r>
        <w:rPr>
          <w:rFonts w:ascii="Arial" w:hAnsi="Arial"/>
          <w:b/>
          <w:color w:val="003366"/>
          <w:sz w:val="28"/>
        </w:rPr>
        <w:t>Question 2: Personalized E-Learning Recommendation System</w:t>
      </w:r>
    </w:p>
    <w:p>
      <w:pPr>
        <w:keepNext/>
        <w:spacing w:before="200" w:after="80"/>
      </w:pPr>
      <w:r>
        <w:rPr>
          <w:rFonts w:ascii="Arial" w:hAnsi="Arial"/>
          <w:b/>
          <w:color w:val="333333"/>
          <w:sz w:val="24"/>
        </w:rPr>
        <w:t>1. Context &amp; Conceptual Grounding</w:t>
      </w:r>
    </w:p>
    <w:p>
      <w:pPr>
        <w:spacing w:before="0" w:after="80" w:line="276" w:lineRule="auto"/>
      </w:pPr>
      <w:r>
        <w:rPr>
          <w:rFonts w:ascii="Calibri" w:hAnsi="Calibri"/>
          <w:i w:val="0"/>
          <w:color w:val="222222"/>
          <w:sz w:val="22"/>
        </w:rPr>
        <w:t>Personalized e-learning platforms face the 'cold-start' and recommendation filter bubble problems. If a platform only recommends topics a student has already excelled at, the student experiences fast mastery degradation on unexplored topics. Conversely, presenting overly challenging or unfamiliar content leads to learner frustration and dropouts. Exploration and exploitation strategies, formalized through Multi-Armed Bandit (MAB) and Contextual Bandit frameworks, govern how an RL system balances content reinforcement with diagnostic learning discovery.</w:t>
      </w:r>
    </w:p>
    <w:p>
      <w:pPr>
        <w:keepNext/>
        <w:spacing w:before="200" w:after="80"/>
      </w:pPr>
      <w:r>
        <w:rPr>
          <w:rFonts w:ascii="Arial" w:hAnsi="Arial"/>
          <w:b/>
          <w:color w:val="333333"/>
          <w:sz w:val="24"/>
        </w:rPr>
        <w:t>2. Exploration vs. Exploitation Dynamics</w:t>
      </w:r>
    </w:p>
    <w:p>
      <w:pPr>
        <w:pStyle w:val="ListBullet"/>
        <w:spacing w:before="0" w:after="60" w:line="276" w:lineRule="auto"/>
        <w:ind w:left="360"/>
      </w:pPr>
      <w:r>
        <w:rPr>
          <w:rFonts w:ascii="Calibri" w:hAnsi="Calibri"/>
          <w:b/>
          <w:color w:val="222222"/>
          <w:sz w:val="22"/>
        </w:rPr>
        <w:t xml:space="preserve">Exploitation Strategy: </w:t>
      </w:r>
      <w:r>
        <w:rPr>
          <w:rFonts w:ascii="Calibri" w:hAnsi="Calibri"/>
          <w:color w:val="222222"/>
          <w:sz w:val="22"/>
        </w:rPr>
        <w:t>Recommending learning materials where the agent has high confidence in the student's success probability (e.g., practice sets on linear equations when user scores 90%+ consistently). Maximizes short-term quiz scores and engagement but risks trapping the user in a localized learning bubble.</w:t>
      </w:r>
    </w:p>
    <w:p>
      <w:pPr>
        <w:pStyle w:val="ListBullet"/>
        <w:spacing w:before="0" w:after="60" w:line="276" w:lineRule="auto"/>
        <w:ind w:left="360"/>
      </w:pPr>
      <w:r>
        <w:rPr>
          <w:rFonts w:ascii="Calibri" w:hAnsi="Calibri"/>
          <w:b/>
          <w:color w:val="222222"/>
          <w:sz w:val="22"/>
        </w:rPr>
        <w:t xml:space="preserve">Exploration Strategy: </w:t>
      </w:r>
      <w:r>
        <w:rPr>
          <w:rFonts w:ascii="Calibri" w:hAnsi="Calibri"/>
          <w:color w:val="222222"/>
          <w:sz w:val="22"/>
        </w:rPr>
        <w:t>Presenting content from unfamiliar sub-domains, higher difficulty levels, or varying media formats (e.g., interactive coding environments). Maps student's latent skill boundaries but risks temporary friction if content is too difficult.</w:t>
      </w:r>
    </w:p>
    <w:p>
      <w:pPr>
        <w:keepNext/>
        <w:spacing w:before="200" w:after="80"/>
      </w:pPr>
      <w:r>
        <w:rPr>
          <w:rFonts w:ascii="Arial" w:hAnsi="Arial"/>
          <w:b/>
          <w:color w:val="333333"/>
          <w:sz w:val="24"/>
        </w:rPr>
        <w:t>3. Mathematical Exploration Strategies</w:t>
      </w:r>
    </w:p>
    <w:p>
      <w:pPr>
        <w:pStyle w:val="ListBullet"/>
        <w:spacing w:before="0" w:after="60" w:line="276" w:lineRule="auto"/>
        <w:ind w:left="360"/>
      </w:pPr>
      <w:r>
        <w:rPr>
          <w:rFonts w:ascii="Calibri" w:hAnsi="Calibri"/>
          <w:b/>
          <w:color w:val="222222"/>
          <w:sz w:val="22"/>
        </w:rPr>
        <w:t xml:space="preserve">ε-Greedy Policy with Decay: </w:t>
      </w:r>
      <w:r>
        <w:rPr>
          <w:rFonts w:ascii="Calibri" w:hAnsi="Calibri"/>
          <w:color w:val="222222"/>
          <w:sz w:val="22"/>
        </w:rPr>
        <w:t>The system recommends the best-known resource with probability 1 − ε, and explores a random educational module with probability ε. ε decays over time as confidence in the user model grows: ε_t = ε_0 · e^(−λt).</w:t>
      </w:r>
    </w:p>
    <w:p>
      <w:pPr>
        <w:pStyle w:val="ListBullet"/>
        <w:spacing w:before="0" w:after="60" w:line="276" w:lineRule="auto"/>
        <w:ind w:left="360"/>
      </w:pPr>
      <w:r>
        <w:rPr>
          <w:rFonts w:ascii="Calibri" w:hAnsi="Calibri"/>
          <w:b/>
          <w:color w:val="222222"/>
          <w:sz w:val="22"/>
        </w:rPr>
        <w:t xml:space="preserve">Upper Confidence Bound (UCB1): </w:t>
      </w:r>
      <w:r>
        <w:rPr>
          <w:rFonts w:ascii="Calibri" w:hAnsi="Calibri"/>
          <w:color w:val="222222"/>
          <w:sz w:val="22"/>
        </w:rPr>
        <w:t>Selects learning item 'a' that maximizes the upper boundary of performance expectation: a_t = argmax [ Q_hat(a) + c · √(ln(t) / N_a(t)) ]. The square root term acts as an uncertainty bonus.</w:t>
      </w:r>
    </w:p>
    <w:p>
      <w:pPr>
        <w:pStyle w:val="ListBullet"/>
        <w:spacing w:before="0" w:after="60" w:line="276" w:lineRule="auto"/>
        <w:ind w:left="360"/>
      </w:pPr>
      <w:r>
        <w:rPr>
          <w:rFonts w:ascii="Calibri" w:hAnsi="Calibri"/>
          <w:b/>
          <w:color w:val="222222"/>
          <w:sz w:val="22"/>
        </w:rPr>
        <w:t xml:space="preserve">Contextual Thompson Sampling: </w:t>
      </w:r>
      <w:r>
        <w:rPr>
          <w:rFonts w:ascii="Calibri" w:hAnsi="Calibri"/>
          <w:color w:val="222222"/>
          <w:sz w:val="22"/>
        </w:rPr>
        <w:t>Maintains a Bayesian probability distribution over user comprehension for each item. The agent samples performance parameters from the posterior distribution and selects the item yielding the highest expected marginal skill acquisition.</w:t>
      </w:r>
    </w:p>
    <w:p>
      <w:pPr>
        <w:keepNext/>
        <w:spacing w:before="280" w:after="120"/>
      </w:pPr>
      <w:r>
        <w:rPr>
          <w:rFonts w:ascii="Arial" w:hAnsi="Arial"/>
          <w:b/>
          <w:color w:val="003366"/>
          <w:sz w:val="28"/>
        </w:rPr>
        <w:t>Question 3: Robotic Vacuum Cleaner Framework</w:t>
      </w:r>
    </w:p>
    <w:p>
      <w:pPr>
        <w:keepNext/>
        <w:spacing w:before="200" w:after="80"/>
      </w:pPr>
      <w:r>
        <w:rPr>
          <w:rFonts w:ascii="Arial" w:hAnsi="Arial"/>
          <w:b/>
          <w:color w:val="333333"/>
          <w:sz w:val="24"/>
        </w:rPr>
        <w:t>1. RL Architecture Design</w:t>
      </w:r>
    </w:p>
    <w:p>
      <w:pPr>
        <w:spacing w:before="0" w:after="80" w:line="276" w:lineRule="auto"/>
      </w:pPr>
      <w:r>
        <w:rPr>
          <w:rFonts w:ascii="Calibri" w:hAnsi="Calibri"/>
          <w:i w:val="0"/>
          <w:color w:val="222222"/>
          <w:sz w:val="22"/>
        </w:rPr>
        <w:t>An autonomous robotic vacuum cleaner navigating an unstructured indoor environment must maximize spatial coverage, avoid dynamic/static obstacles, and minimize battery consumption.</w:t>
      </w:r>
    </w:p>
    <w:p>
      <w:pPr>
        <w:keepNext/>
        <w:spacing w:before="200" w:after="80"/>
      </w:pPr>
      <w:r>
        <w:rPr>
          <w:rFonts w:ascii="Arial" w:hAnsi="Arial"/>
          <w:b/>
          <w:color w:val="333333"/>
          <w:sz w:val="24"/>
        </w:rPr>
        <w:t>2. State, Action, and Reward Formalism</w:t>
      </w:r>
    </w:p>
    <w:p>
      <w:pPr>
        <w:pStyle w:val="ListBullet"/>
        <w:spacing w:before="0" w:after="60" w:line="276" w:lineRule="auto"/>
        <w:ind w:left="360"/>
      </w:pPr>
      <w:r>
        <w:rPr>
          <w:rFonts w:ascii="Calibri" w:hAnsi="Calibri"/>
          <w:b/>
          <w:color w:val="222222"/>
          <w:sz w:val="22"/>
        </w:rPr>
        <w:t xml:space="preserve">State Space (S): </w:t>
      </w:r>
      <w:r>
        <w:rPr>
          <w:rFonts w:ascii="Calibri" w:hAnsi="Calibri"/>
          <w:color w:val="222222"/>
          <w:sz w:val="22"/>
        </w:rPr>
        <w:t>St = { D_lidar, B_level, G_grid, C_coverage, O_bump }. Captures 360-degree LiDAR arrays, battery %, local occupancy grid map, dirt density matrix, and physical bump collision signals.</w:t>
      </w:r>
    </w:p>
    <w:p>
      <w:pPr>
        <w:pStyle w:val="ListBullet"/>
        <w:spacing w:before="0" w:after="60" w:line="276" w:lineRule="auto"/>
        <w:ind w:left="360"/>
      </w:pPr>
      <w:r>
        <w:rPr>
          <w:rFonts w:ascii="Calibri" w:hAnsi="Calibri"/>
          <w:b/>
          <w:color w:val="222222"/>
          <w:sz w:val="22"/>
        </w:rPr>
        <w:t xml:space="preserve">Action Space (A): </w:t>
      </w:r>
      <w:r>
        <w:rPr>
          <w:rFonts w:ascii="Calibri" w:hAnsi="Calibri"/>
          <w:color w:val="222222"/>
          <w:sz w:val="22"/>
        </w:rPr>
        <w:t>A = { Forward(v), Rotate(θ), Suction Power(p), Return To Dock }.</w:t>
      </w:r>
    </w:p>
    <w:p>
      <w:pPr>
        <w:pStyle w:val="ListBullet"/>
        <w:spacing w:before="0" w:after="60" w:line="276" w:lineRule="auto"/>
        <w:ind w:left="360"/>
      </w:pPr>
      <w:r>
        <w:rPr>
          <w:rFonts w:ascii="Calibri" w:hAnsi="Calibri"/>
          <w:b/>
          <w:color w:val="222222"/>
          <w:sz w:val="22"/>
        </w:rPr>
        <w:t xml:space="preserve">Reward Function (R): </w:t>
      </w:r>
      <w:r>
        <w:rPr>
          <w:rFonts w:ascii="Calibri" w:hAnsi="Calibri"/>
          <w:color w:val="222222"/>
          <w:sz w:val="22"/>
        </w:rPr>
        <w:t>Rt = +R_clean · ΔArea − R_step − R_collision · I_bump − R_empty_battery · I_depleted.</w:t>
      </w:r>
    </w:p>
    <w:p>
      <w:pPr>
        <w:keepNext/>
        <w:spacing w:before="200" w:after="80"/>
      </w:pPr>
      <w:r>
        <w:rPr>
          <w:rFonts w:ascii="Arial" w:hAnsi="Arial"/>
          <w:b/>
          <w:color w:val="333333"/>
          <w:sz w:val="24"/>
        </w:rPr>
        <w:t>3. Policy and Value Function Mechanics</w:t>
      </w:r>
    </w:p>
    <w:p>
      <w:pPr>
        <w:pStyle w:val="ListBullet"/>
        <w:spacing w:before="0" w:after="60" w:line="276" w:lineRule="auto"/>
        <w:ind w:left="360"/>
      </w:pPr>
      <w:r>
        <w:rPr>
          <w:rFonts w:ascii="Calibri" w:hAnsi="Calibri"/>
          <w:b/>
          <w:color w:val="222222"/>
          <w:sz w:val="22"/>
        </w:rPr>
        <w:t xml:space="preserve">Policy (π): </w:t>
      </w:r>
      <w:r>
        <w:rPr>
          <w:rFonts w:ascii="Calibri" w:hAnsi="Calibri"/>
          <w:color w:val="222222"/>
          <w:sz w:val="22"/>
        </w:rPr>
        <w:t>Defines the agent's decision mapping states to actions. Can be deterministic (a = π(s)) or stochastic (π(a|s) = P(At = a | St = s)).</w:t>
      </w:r>
    </w:p>
    <w:p>
      <w:pPr>
        <w:pStyle w:val="ListBullet"/>
        <w:spacing w:before="0" w:after="60" w:line="276" w:lineRule="auto"/>
        <w:ind w:left="360"/>
      </w:pPr>
      <w:r>
        <w:rPr>
          <w:rFonts w:ascii="Calibri" w:hAnsi="Calibri"/>
          <w:b/>
          <w:color w:val="222222"/>
          <w:sz w:val="22"/>
        </w:rPr>
        <w:t xml:space="preserve">State-Value V(s) &amp; Action-Value Q(s,a): </w:t>
      </w:r>
      <w:r>
        <w:rPr>
          <w:rFonts w:ascii="Calibri" w:hAnsi="Calibri"/>
          <w:color w:val="222222"/>
          <w:sz w:val="22"/>
        </w:rPr>
        <w:t>V^π(s) represents the long-term expected clean area covered starting from state s. Q^π(s,a) measures expected cumulative efficiency of taking action a in state s.</w:t>
      </w:r>
    </w:p>
    <w:p>
      <w:pPr>
        <w:pStyle w:val="ListBullet"/>
        <w:spacing w:before="0" w:after="60" w:line="276" w:lineRule="auto"/>
        <w:ind w:left="360"/>
      </w:pPr>
      <w:r>
        <w:rPr>
          <w:rFonts w:ascii="Calibri" w:hAnsi="Calibri"/>
          <w:b/>
          <w:color w:val="222222"/>
          <w:sz w:val="22"/>
        </w:rPr>
        <w:t xml:space="preserve">Policy Iteration: </w:t>
      </w:r>
      <w:r>
        <w:rPr>
          <w:rFonts w:ascii="Calibri" w:hAnsi="Calibri"/>
          <w:color w:val="222222"/>
          <w:sz w:val="22"/>
        </w:rPr>
        <w:t>Using Dynamic Programming Policy Iteration, the agent alternates between Policy Evaluation (computing V_k(s) via Bellman Expectation Backup) and Policy Improvement (updating policy greedily).</w:t>
      </w:r>
    </w:p>
    <w:p>
      <w:pPr>
        <w:spacing w:before="0" w:after="80" w:line="276" w:lineRule="auto"/>
      </w:pPr>
      <w:r>
        <w:rPr>
          <w:rFonts w:ascii="Calibri" w:hAnsi="Calibri"/>
          <w:i w:val="0"/>
          <w:color w:val="222222"/>
          <w:sz w:val="22"/>
        </w:rPr>
        <w:t>Effect Over Time: Early in training, an unoptimized value function treats open spaces and corner traps similarly. As V(s) updates over successive learning episodes, states leading into dead-ends or high obstacle densities retain lower value expectations (V(s_trap) → −∞). Over time, the robot stops wasting energy in previously cleaned zones and smoothly navigates around obstacles without physical collisions.</w:t>
      </w:r>
    </w:p>
    <w:p>
      <w:pPr>
        <w:keepNext/>
        <w:spacing w:before="280" w:after="120"/>
      </w:pPr>
      <w:r>
        <w:rPr>
          <w:rFonts w:ascii="Arial" w:hAnsi="Arial"/>
          <w:b/>
          <w:color w:val="003366"/>
          <w:sz w:val="28"/>
        </w:rPr>
        <w:t>Question 4: Cryptocurrency Trading System</w:t>
      </w:r>
    </w:p>
    <w:p>
      <w:pPr>
        <w:keepNext/>
        <w:spacing w:before="200" w:after="80"/>
      </w:pPr>
      <w:r>
        <w:rPr>
          <w:rFonts w:ascii="Arial" w:hAnsi="Arial"/>
          <w:b/>
          <w:color w:val="333333"/>
          <w:sz w:val="24"/>
        </w:rPr>
        <w:t>1. System Context &amp; Financial Environment</w:t>
      </w:r>
    </w:p>
    <w:p>
      <w:pPr>
        <w:spacing w:before="0" w:after="80" w:line="276" w:lineRule="auto"/>
      </w:pPr>
      <w:r>
        <w:rPr>
          <w:rFonts w:ascii="Calibri" w:hAnsi="Calibri"/>
          <w:i w:val="0"/>
          <w:color w:val="222222"/>
          <w:sz w:val="22"/>
        </w:rPr>
        <w:t>Cryptocurrency markets represent highly stochastic, non-stationary financial environments characterized by extreme variance, fat-tailed return distributions, high frequency noise, and sudden liquidity shocks. Designing an RL trading agent to evaluate Action ∈ {Buy, Sell, Hold} requires careful reward function engineering.</w:t>
      </w:r>
    </w:p>
    <w:p>
      <w:pPr>
        <w:keepNext/>
        <w:spacing w:before="200" w:after="80"/>
      </w:pPr>
      <w:r>
        <w:rPr>
          <w:rFonts w:ascii="Arial" w:hAnsi="Arial"/>
          <w:b/>
          <w:color w:val="333333"/>
          <w:sz w:val="24"/>
        </w:rPr>
        <w:t>2. Challenges in Reward Function Design</w:t>
      </w:r>
    </w:p>
    <w:p>
      <w:pPr>
        <w:pStyle w:val="ListBullet"/>
        <w:spacing w:before="0" w:after="60" w:line="276" w:lineRule="auto"/>
        <w:ind w:left="360"/>
      </w:pPr>
      <w:r>
        <w:rPr>
          <w:rFonts w:ascii="Calibri" w:hAnsi="Calibri"/>
          <w:b/>
          <w:color w:val="222222"/>
          <w:sz w:val="22"/>
        </w:rPr>
        <w:t xml:space="preserve">High Noise-to-Signal Ratio: </w:t>
      </w:r>
      <w:r>
        <w:rPr>
          <w:rFonts w:ascii="Calibri" w:hAnsi="Calibri"/>
          <w:color w:val="222222"/>
          <w:sz w:val="22"/>
        </w:rPr>
        <w:t>Short-term price fluctuations in crypto assets are largely stochastic. A poor trade execution can yield a positive reward due to random market noise, causing false positive learning signals.</w:t>
      </w:r>
    </w:p>
    <w:p>
      <w:pPr>
        <w:pStyle w:val="ListBullet"/>
        <w:spacing w:before="0" w:after="60" w:line="276" w:lineRule="auto"/>
        <w:ind w:left="360"/>
      </w:pPr>
      <w:r>
        <w:rPr>
          <w:rFonts w:ascii="Calibri" w:hAnsi="Calibri"/>
          <w:b/>
          <w:color w:val="222222"/>
          <w:sz w:val="22"/>
        </w:rPr>
        <w:t xml:space="preserve">Sparse vs. Dense Credit Assignment: </w:t>
      </w:r>
      <w:r>
        <w:rPr>
          <w:rFonts w:ascii="Calibri" w:hAnsi="Calibri"/>
          <w:color w:val="222222"/>
          <w:sz w:val="22"/>
        </w:rPr>
        <w:t>If rewards are calculated only upon trade execution (sparse), credit assignment is difficult. If continuous floating PnL rewards are used (dense), the agent develops erratic step-by-step trading habits.</w:t>
      </w:r>
    </w:p>
    <w:p>
      <w:pPr>
        <w:pStyle w:val="ListBullet"/>
        <w:spacing w:before="0" w:after="60" w:line="276" w:lineRule="auto"/>
        <w:ind w:left="360"/>
      </w:pPr>
      <w:r>
        <w:rPr>
          <w:rFonts w:ascii="Calibri" w:hAnsi="Calibri"/>
          <w:b/>
          <w:color w:val="222222"/>
          <w:sz w:val="22"/>
        </w:rPr>
        <w:t xml:space="preserve">Non-Stationarity &amp; Regime Shifts: </w:t>
      </w:r>
      <w:r>
        <w:rPr>
          <w:rFonts w:ascii="Calibri" w:hAnsi="Calibri"/>
          <w:color w:val="222222"/>
          <w:sz w:val="22"/>
        </w:rPr>
        <w:t>Market distributions change abruptly (bull trend to liquidation collapse). A reward function optimized for trend continuation fails during low-volatility mean-reverting regimes.</w:t>
      </w:r>
    </w:p>
    <w:p>
      <w:pPr>
        <w:pStyle w:val="ListBullet"/>
        <w:spacing w:before="0" w:after="60" w:line="276" w:lineRule="auto"/>
        <w:ind w:left="360"/>
      </w:pPr>
      <w:r>
        <w:rPr>
          <w:rFonts w:ascii="Calibri" w:hAnsi="Calibri"/>
          <w:b/>
          <w:color w:val="222222"/>
          <w:sz w:val="22"/>
        </w:rPr>
        <w:t xml:space="preserve">Frictionless Delusions (Fees &amp; Slippage): </w:t>
      </w:r>
      <w:r>
        <w:rPr>
          <w:rFonts w:ascii="Calibri" w:hAnsi="Calibri"/>
          <w:color w:val="222222"/>
          <w:sz w:val="22"/>
        </w:rPr>
        <w:t>Exchanges charge fees (0.1%–0.5%) and suffer from slippage. Omitting these parameters leads the RL agent to execute thousands of micro-trades that incur massive net losses live.</w:t>
      </w:r>
    </w:p>
    <w:p>
      <w:pPr>
        <w:keepNext/>
        <w:spacing w:before="200" w:after="80"/>
      </w:pPr>
      <w:r>
        <w:rPr>
          <w:rFonts w:ascii="Arial" w:hAnsi="Arial"/>
          <w:b/>
          <w:color w:val="333333"/>
          <w:sz w:val="24"/>
        </w:rPr>
        <w:t>3. Breakdown of Poor Reward Models vs. Robust Reward Design</w:t>
      </w:r>
    </w:p>
    <w:tbl>
      <w:tblPr>
        <w:tblW w:type="auto" w:w="0"/>
        <w:jc w:val="center"/>
        <w:tblLook w:firstColumn="1" w:firstRow="1" w:lastColumn="0" w:lastRow="0" w:noHBand="0" w:noVBand="1" w:val="04A0"/>
      </w:tblPr>
      <w:tblGrid>
        <w:gridCol w:w="4680"/>
        <w:gridCol w:w="4680"/>
      </w:tblGrid>
      <w:tr>
        <w:tc>
          <w:tcPr>
            <w:tcW w:type="dxa" w:w="4680"/>
            <w:shd w:fill="003366"/>
          </w:tcPr>
          <w:p>
            <w:pPr>
              <w:spacing w:after="40"/>
            </w:pPr>
            <w:r>
              <w:rPr>
                <w:rFonts w:ascii="Arial" w:hAnsi="Arial"/>
                <w:b/>
                <w:color w:val="FFFFFF"/>
                <w:sz w:val="20"/>
              </w:rPr>
              <w:t>Reward Formulation</w:t>
            </w:r>
          </w:p>
        </w:tc>
        <w:tc>
          <w:tcPr>
            <w:tcW w:type="dxa" w:w="4680"/>
            <w:shd w:fill="003366"/>
          </w:tcPr>
          <w:p>
            <w:pPr>
              <w:spacing w:after="40"/>
            </w:pPr>
            <w:r>
              <w:rPr>
                <w:rFonts w:ascii="Arial" w:hAnsi="Arial"/>
                <w:b/>
                <w:color w:val="FFFFFF"/>
                <w:sz w:val="20"/>
              </w:rPr>
              <w:t>Failure Mode / Agent Malfunction</w:t>
            </w:r>
          </w:p>
        </w:tc>
      </w:tr>
      <w:tr>
        <w:tc>
          <w:tcPr>
            <w:tcW w:type="dxa" w:w="4680"/>
            <w:shd w:fill="F8F9FA"/>
          </w:tcPr>
          <w:p>
            <w:r>
              <w:rPr>
                <w:sz w:val="19"/>
              </w:rPr>
              <w:t>Rt = PnL_t (Raw Profit/Loss)</w:t>
            </w:r>
          </w:p>
        </w:tc>
        <w:tc>
          <w:tcPr>
            <w:tcW w:type="dxa" w:w="4680"/>
            <w:shd w:fill="F8F9FA"/>
          </w:tcPr>
          <w:p>
            <w:r>
              <w:rPr>
                <w:sz w:val="19"/>
              </w:rPr>
              <w:t>Extreme Risk-Taking: Maximizes raw returns by leveraging up; ignores catastrophic drawdown.</w:t>
            </w:r>
          </w:p>
        </w:tc>
      </w:tr>
      <w:tr>
        <w:tc>
          <w:tcPr>
            <w:tcW w:type="dxa" w:w="4680"/>
            <w:shd w:fill="FFFFFF"/>
          </w:tcPr>
          <w:p>
            <w:r>
              <w:rPr>
                <w:sz w:val="19"/>
              </w:rPr>
              <w:t>Rt = Step-wise Price Change (No Fees)</w:t>
            </w:r>
          </w:p>
        </w:tc>
        <w:tc>
          <w:tcPr>
            <w:tcW w:type="dxa" w:w="4680"/>
            <w:shd w:fill="FFFFFF"/>
          </w:tcPr>
          <w:p>
            <w:r>
              <w:rPr>
                <w:sz w:val="19"/>
              </w:rPr>
              <w:t>Hyperactive Overtrading: Racks up exchange fees and slippage costs, bankrupting portfolio.</w:t>
            </w:r>
          </w:p>
        </w:tc>
      </w:tr>
      <w:tr>
        <w:tc>
          <w:tcPr>
            <w:tcW w:type="dxa" w:w="4680"/>
            <w:shd w:fill="F8F9FA"/>
          </w:tcPr>
          <w:p>
            <w:r>
              <w:rPr>
                <w:sz w:val="19"/>
              </w:rPr>
              <w:t>Rt = Wins / Total Trades Ratio</w:t>
            </w:r>
          </w:p>
        </w:tc>
        <w:tc>
          <w:tcPr>
            <w:tcW w:type="dxa" w:w="4680"/>
            <w:shd w:fill="F8F9FA"/>
          </w:tcPr>
          <w:p>
            <w:r>
              <w:rPr>
                <w:sz w:val="19"/>
              </w:rPr>
              <w:t>Asymmetric Loss Exploitation: Takes micro wins, holds catastrophic losing trades forever.</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Corrected Multi-Factor Reward: </w:t>
            </w:r>
            <w:r>
              <w:rPr>
                <w:rFonts w:ascii="Calibri" w:hAnsi="Calibri"/>
                <w:i/>
                <w:color w:val="333333"/>
                <w:sz w:val="21"/>
              </w:rPr>
              <w:t>Rt = (μ_PnL / σ_PnL) − λ1 · Drawdown_max − λ2 · C_transaction − λ3 · Position_Volatility</w:t>
            </w:r>
          </w:p>
        </w:tc>
      </w:tr>
    </w:tbl>
    <w:p>
      <w:pPr>
        <w:spacing w:after="80"/>
      </w:pPr>
    </w:p>
    <w:p>
      <w:pPr>
        <w:keepNext/>
        <w:spacing w:before="280" w:after="120"/>
      </w:pPr>
      <w:r>
        <w:rPr>
          <w:rFonts w:ascii="Arial" w:hAnsi="Arial"/>
          <w:b/>
          <w:color w:val="003366"/>
          <w:sz w:val="28"/>
        </w:rPr>
        <w:t>Question 5: Smart Grid Electricity Distribution Framework</w:t>
      </w:r>
    </w:p>
    <w:p>
      <w:pPr>
        <w:keepNext/>
        <w:spacing w:before="200" w:after="80"/>
      </w:pPr>
      <w:r>
        <w:rPr>
          <w:rFonts w:ascii="Arial" w:hAnsi="Arial"/>
          <w:b/>
          <w:color w:val="333333"/>
          <w:sz w:val="24"/>
        </w:rPr>
        <w:t>1. System Infrastructure Overview</w:t>
      </w:r>
    </w:p>
    <w:p>
      <w:pPr>
        <w:spacing w:before="0" w:after="80" w:line="276" w:lineRule="auto"/>
      </w:pPr>
      <w:r>
        <w:rPr>
          <w:rFonts w:ascii="Calibri" w:hAnsi="Calibri"/>
          <w:i w:val="0"/>
          <w:color w:val="222222"/>
          <w:sz w:val="22"/>
        </w:rPr>
        <w:t>A modern Smart Grid consists of interconnected regional generation units (traditional power plants, solar farms, wind farms), energy storage systems (utility-scale battery reserves - ESS), and dynamic load centers (industrial, commercial, residential). The objective of the RL model is to optimize power distribution, minimize transmission line losses, prevent grid overload, and maximize renewable energy consumption.</w:t>
      </w:r>
    </w:p>
    <w:p>
      <w:pPr>
        <w:keepNext/>
        <w:spacing w:before="200" w:after="80"/>
      </w:pPr>
      <w:r>
        <w:rPr>
          <w:rFonts w:ascii="Arial" w:hAnsi="Arial"/>
          <w:b/>
          <w:color w:val="333333"/>
          <w:sz w:val="24"/>
        </w:rPr>
        <w:t>2. Detailed Formal RL Formulation</w:t>
      </w:r>
    </w:p>
    <w:p>
      <w:pPr>
        <w:pStyle w:val="ListBullet"/>
        <w:spacing w:before="0" w:after="60" w:line="276" w:lineRule="auto"/>
        <w:ind w:left="360"/>
      </w:pPr>
      <w:r>
        <w:rPr>
          <w:rFonts w:ascii="Calibri" w:hAnsi="Calibri"/>
          <w:b/>
          <w:color w:val="222222"/>
          <w:sz w:val="22"/>
        </w:rPr>
        <w:t xml:space="preserve">State Space (S): </w:t>
      </w:r>
      <w:r>
        <w:rPr>
          <w:rFonts w:ascii="Calibri" w:hAnsi="Calibri"/>
          <w:color w:val="222222"/>
          <w:sz w:val="22"/>
        </w:rPr>
        <w:t>St = [ {Di(t)}, {Gi_ren(t)}, {SoC_k(t)}, {Lm(t)}, P_market(t), W(t) ]. Captures power demand, renewable generation, battery State of Charge, line load, spot market prices, and weather forecasts.</w:t>
      </w:r>
    </w:p>
    <w:p>
      <w:pPr>
        <w:pStyle w:val="ListBullet"/>
        <w:spacing w:before="0" w:after="60" w:line="276" w:lineRule="auto"/>
        <w:ind w:left="360"/>
      </w:pPr>
      <w:r>
        <w:rPr>
          <w:rFonts w:ascii="Calibri" w:hAnsi="Calibri"/>
          <w:b/>
          <w:color w:val="222222"/>
          <w:sz w:val="22"/>
        </w:rPr>
        <w:t xml:space="preserve">Action Space (A): </w:t>
      </w:r>
      <w:r>
        <w:rPr>
          <w:rFonts w:ascii="Calibri" w:hAnsi="Calibri"/>
          <w:color w:val="222222"/>
          <w:sz w:val="22"/>
        </w:rPr>
        <w:t>At = [ {Pk_ESS(t)}, {ΔPi,j(t)}, {Λi_DR(t)} ]. Regulates storage charging/discharging, power rerouting across nodes, and demand-response signals.</w:t>
      </w:r>
    </w:p>
    <w:p>
      <w:pPr>
        <w:pStyle w:val="ListBullet"/>
        <w:spacing w:before="0" w:after="60" w:line="276" w:lineRule="auto"/>
        <w:ind w:left="360"/>
      </w:pPr>
      <w:r>
        <w:rPr>
          <w:rFonts w:ascii="Calibri" w:hAnsi="Calibri"/>
          <w:b/>
          <w:color w:val="222222"/>
          <w:sz w:val="22"/>
        </w:rPr>
        <w:t xml:space="preserve">Reward Mechanism (R): </w:t>
      </w:r>
      <w:r>
        <w:rPr>
          <w:rFonts w:ascii="Calibri" w:hAnsi="Calibri"/>
          <w:color w:val="222222"/>
          <w:sz w:val="22"/>
        </w:rPr>
        <w:t>Rt = − [ Cgen(Ggrid) + Cdegradation(ESS) + α ∑ max(0, Lm − Lm_max)^2 + β ∑ UnmetDemand_i + γ · TransmissionLosses ].</w:t>
      </w:r>
    </w:p>
    <w:p>
      <w:pPr>
        <w:keepNext/>
        <w:spacing w:before="200" w:after="80"/>
      </w:pPr>
      <w:r>
        <w:rPr>
          <w:rFonts w:ascii="Arial" w:hAnsi="Arial"/>
          <w:b/>
          <w:color w:val="333333"/>
          <w:sz w:val="24"/>
        </w:rPr>
        <w:t>3. Control Dynamics &amp; Operational Constraints</w:t>
      </w:r>
    </w:p>
    <w:p>
      <w:pPr>
        <w:spacing w:before="0" w:after="80" w:line="276" w:lineRule="auto"/>
      </w:pPr>
      <w:r>
        <w:rPr>
          <w:rFonts w:ascii="Calibri" w:hAnsi="Calibri"/>
          <w:i w:val="0"/>
          <w:color w:val="222222"/>
          <w:sz w:val="22"/>
        </w:rPr>
        <w:t>The framework enforces physical power-flow conservation constraints (Kirchhoff's Circuit Laws) and battery durability limits. If an action proposed by the RL agent causes voltage fluctuations outside designated limits (±5% nominal voltage), a hard projection operator adjusts the action into the safe control region before execution, guaranteeing physical grid stability while the policy updates.</w:t>
      </w:r>
    </w:p>
    <w:p>
      <w:pPr>
        <w:keepNext/>
        <w:spacing w:before="280" w:after="120"/>
      </w:pPr>
      <w:r>
        <w:rPr>
          <w:rFonts w:ascii="Arial" w:hAnsi="Arial"/>
          <w:b/>
          <w:color w:val="003366"/>
          <w:sz w:val="28"/>
        </w:rPr>
        <w:t>Question 6: Healthcare Medication Dosage Adjustment System</w:t>
      </w:r>
    </w:p>
    <w:p>
      <w:pPr>
        <w:keepNext/>
        <w:spacing w:before="200" w:after="80"/>
      </w:pPr>
      <w:r>
        <w:rPr>
          <w:rFonts w:ascii="Arial" w:hAnsi="Arial"/>
          <w:b/>
          <w:color w:val="333333"/>
          <w:sz w:val="24"/>
        </w:rPr>
        <w:t>1. Clinical Context &amp; Adaptive Control</w:t>
      </w:r>
    </w:p>
    <w:p>
      <w:pPr>
        <w:spacing w:before="0" w:after="80" w:line="276" w:lineRule="auto"/>
      </w:pPr>
      <w:r>
        <w:rPr>
          <w:rFonts w:ascii="Calibri" w:hAnsi="Calibri"/>
          <w:i w:val="0"/>
          <w:color w:val="222222"/>
          <w:sz w:val="22"/>
        </w:rPr>
        <w:t>In chronic illness management (e.g., continuous insulin administration in Type 1 Diabetes, chemotherapy dosage tuning in oncology, or vasopressor control in ICU septic shock management), patient metabolic responses vary significantly over time. Fixed dosing protocols often cause under-treatment or severe drug toxicity. Reinforcement Learning serves as a closed-loop controller, personalizing dosage trajectories according to real-time bio-marker telemetry.</w:t>
      </w:r>
    </w:p>
    <w:p>
      <w:pPr>
        <w:keepNext/>
        <w:spacing w:before="200" w:after="80"/>
      </w:pPr>
      <w:r>
        <w:rPr>
          <w:rFonts w:ascii="Arial" w:hAnsi="Arial"/>
          <w:b/>
          <w:color w:val="333333"/>
          <w:sz w:val="24"/>
        </w:rPr>
        <w:t>2. Detailed RL Framework Specification</w:t>
      </w:r>
    </w:p>
    <w:p>
      <w:pPr>
        <w:pStyle w:val="ListBullet"/>
        <w:spacing w:before="0" w:after="60" w:line="276" w:lineRule="auto"/>
        <w:ind w:left="360"/>
      </w:pPr>
      <w:r>
        <w:rPr>
          <w:rFonts w:ascii="Calibri" w:hAnsi="Calibri"/>
          <w:b/>
          <w:color w:val="222222"/>
          <w:sz w:val="22"/>
        </w:rPr>
        <w:t xml:space="preserve">State Space (S): </w:t>
      </w:r>
      <w:r>
        <w:rPr>
          <w:rFonts w:ascii="Calibri" w:hAnsi="Calibri"/>
          <w:color w:val="222222"/>
          <w:sz w:val="22"/>
        </w:rPr>
        <w:t>St = [ Bio_t, ΔBio_t, Concentration_plasma(t), V_vitals(t), H_patient, T_elapsed ]. Tracks primary biomarker concentration, rate of change, plasma drug concentration, vital signs, and patient history.</w:t>
      </w:r>
    </w:p>
    <w:p>
      <w:pPr>
        <w:pStyle w:val="ListBullet"/>
        <w:spacing w:before="0" w:after="60" w:line="276" w:lineRule="auto"/>
        <w:ind w:left="360"/>
      </w:pPr>
      <w:r>
        <w:rPr>
          <w:rFonts w:ascii="Calibri" w:hAnsi="Calibri"/>
          <w:b/>
          <w:color w:val="222222"/>
          <w:sz w:val="22"/>
        </w:rPr>
        <w:t xml:space="preserve">Action Space (A): </w:t>
      </w:r>
      <w:r>
        <w:rPr>
          <w:rFonts w:ascii="Calibri" w:hAnsi="Calibri"/>
          <w:color w:val="222222"/>
          <w:sz w:val="22"/>
        </w:rPr>
        <w:t>At ∈ { Continuous dosage rate d ∈ [Dmin, Dmax] } or discrete adjustments { Decrease 20%, Maintain, Increase 20%, Hold }.</w:t>
      </w:r>
    </w:p>
    <w:p>
      <w:pPr>
        <w:pStyle w:val="ListBullet"/>
        <w:spacing w:before="0" w:after="60" w:line="276" w:lineRule="auto"/>
        <w:ind w:left="360"/>
      </w:pPr>
      <w:r>
        <w:rPr>
          <w:rFonts w:ascii="Calibri" w:hAnsi="Calibri"/>
          <w:b/>
          <w:color w:val="222222"/>
          <w:sz w:val="22"/>
        </w:rPr>
        <w:t xml:space="preserve">Reward Function (R): </w:t>
      </w:r>
      <w:r>
        <w:rPr>
          <w:rFonts w:ascii="Calibri" w:hAnsi="Calibri"/>
          <w:color w:val="222222"/>
          <w:sz w:val="22"/>
        </w:rPr>
        <w:t>Structured around clinical target windows: +R_target if in safe range; −θ · |Bio_t − Target| if minor deviation; −R_toxicity if plasma concentration exceeds threshold; −R_critical if in hazard zone.</w:t>
      </w:r>
    </w:p>
    <w:p>
      <w:pPr>
        <w:keepNext/>
        <w:spacing w:before="200" w:after="80"/>
      </w:pPr>
      <w:r>
        <w:rPr>
          <w:rFonts w:ascii="Arial" w:hAnsi="Arial"/>
          <w:b/>
          <w:color w:val="333333"/>
          <w:sz w:val="24"/>
        </w:rPr>
        <w:t>3. Safe RL Integration &amp; Clinical Outcome Improvements</w:t>
      </w:r>
    </w:p>
    <w:p>
      <w:pPr>
        <w:spacing w:before="0" w:after="80" w:line="276" w:lineRule="auto"/>
      </w:pPr>
      <w:r>
        <w:rPr>
          <w:rFonts w:ascii="Calibri" w:hAnsi="Calibri"/>
          <w:i w:val="0"/>
          <w:color w:val="222222"/>
          <w:sz w:val="22"/>
        </w:rPr>
        <w:t>Because clinical environments cannot afford unconstrained exploration, healthcare RL utilizes Safe Off-Policy Reinforcement Learning (e.g., Conservative Q-Learning) combined with a Constrained Markov Decision Process (CMDP) framework:</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CMDP Optimization: </w:t>
            </w:r>
            <w:r>
              <w:rPr>
                <w:rFonts w:ascii="Calibri" w:hAnsi="Calibri"/>
                <w:i/>
                <w:color w:val="333333"/>
                <w:sz w:val="21"/>
              </w:rPr>
              <w:t>max_π E_π [ ∑ γ^t · Rt ]  subject to  E_π [ ∑ γ^t · C_toxicity(st, at) ] ≤ Δ_safety</w:t>
            </w:r>
          </w:p>
        </w:tc>
      </w:tr>
    </w:tbl>
    <w:p>
      <w:pPr>
        <w:spacing w:after="80"/>
      </w:pPr>
    </w:p>
    <w:p>
      <w:pPr>
        <w:spacing w:before="0" w:after="80" w:line="276" w:lineRule="auto"/>
      </w:pPr>
      <w:r>
        <w:rPr>
          <w:rFonts w:ascii="Calibri" w:hAnsi="Calibri"/>
          <w:i w:val="0"/>
          <w:color w:val="222222"/>
          <w:sz w:val="22"/>
        </w:rPr>
        <w:t>Over time, the system models the patient's individual drug clearance rates without explicit system identification equations. The agent learns to execute preemptive micro-adjustments—lowering doses before toxicity limits are exceeded and increasing doses before biomarker drops occur—minimizing side effects and accelerating time-to-recovery.</w:t>
      </w:r>
    </w:p>
    <w:p>
      <w:pPr>
        <w:keepNext/>
        <w:spacing w:before="280" w:after="120"/>
      </w:pPr>
      <w:r>
        <w:rPr>
          <w:rFonts w:ascii="Arial" w:hAnsi="Arial"/>
          <w:b/>
          <w:color w:val="003366"/>
          <w:sz w:val="28"/>
        </w:rPr>
        <w:t>Question 7: Delivery Drone Navigation &amp; Route Optimization</w:t>
      </w:r>
    </w:p>
    <w:p>
      <w:pPr>
        <w:keepNext/>
        <w:spacing w:before="200" w:after="80"/>
      </w:pPr>
      <w:r>
        <w:rPr>
          <w:rFonts w:ascii="Arial" w:hAnsi="Arial"/>
          <w:b/>
          <w:color w:val="333333"/>
          <w:sz w:val="24"/>
        </w:rPr>
        <w:t>1. System Dynamics &amp; Airspace Challenges</w:t>
      </w:r>
    </w:p>
    <w:p>
      <w:pPr>
        <w:spacing w:before="0" w:after="80" w:line="276" w:lineRule="auto"/>
      </w:pPr>
      <w:r>
        <w:rPr>
          <w:rFonts w:ascii="Calibri" w:hAnsi="Calibri"/>
          <w:i w:val="0"/>
          <w:color w:val="222222"/>
          <w:sz w:val="22"/>
        </w:rPr>
        <w:t>Autonomous delivery drones operating in urban airspaces face dynamic wind vectors, shifting micro-weather phenomena, fixed structural obstacles (buildings, power lines), dynamic obstacles (other drones, birds, construction cranes), and hard battery power constraints. Navigating efficiently from a distribution hub to a delivery point requires optimizing spatial flight trajectories.</w:t>
      </w:r>
    </w:p>
    <w:p>
      <w:pPr>
        <w:keepNext/>
        <w:spacing w:before="200" w:after="80"/>
      </w:pPr>
      <w:r>
        <w:rPr>
          <w:rFonts w:ascii="Arial" w:hAnsi="Arial"/>
          <w:b/>
          <w:color w:val="333333"/>
          <w:sz w:val="24"/>
        </w:rPr>
        <w:t>2. Exploration vs. Exploitation Trade-offs</w:t>
      </w:r>
    </w:p>
    <w:p>
      <w:pPr>
        <w:pStyle w:val="ListBullet"/>
        <w:spacing w:before="0" w:after="60" w:line="276" w:lineRule="auto"/>
        <w:ind w:left="360"/>
      </w:pPr>
      <w:r>
        <w:rPr>
          <w:rFonts w:ascii="Calibri" w:hAnsi="Calibri"/>
          <w:b/>
          <w:color w:val="222222"/>
          <w:sz w:val="22"/>
        </w:rPr>
        <w:t xml:space="preserve">Exploration in Flight Navigation: </w:t>
      </w:r>
      <w:r>
        <w:rPr>
          <w:rFonts w:ascii="Calibri" w:hAnsi="Calibri"/>
          <w:color w:val="222222"/>
          <w:sz w:val="22"/>
        </w:rPr>
        <w:t>Sampling non-standard altitudes, wider bypass curves, or unmapped low-altitude thermal currents. Enables discovery of alternative flight corridors that bypass local wind resistance, but carries physical risk if unconstrained.</w:t>
      </w:r>
    </w:p>
    <w:p>
      <w:pPr>
        <w:pStyle w:val="ListBullet"/>
        <w:spacing w:before="0" w:after="60" w:line="276" w:lineRule="auto"/>
        <w:ind w:left="360"/>
      </w:pPr>
      <w:r>
        <w:rPr>
          <w:rFonts w:ascii="Calibri" w:hAnsi="Calibri"/>
          <w:b/>
          <w:color w:val="222222"/>
          <w:sz w:val="22"/>
        </w:rPr>
        <w:t xml:space="preserve">Exploitation in Flight Navigation: </w:t>
      </w:r>
      <w:r>
        <w:rPr>
          <w:rFonts w:ascii="Calibri" w:hAnsi="Calibri"/>
          <w:color w:val="222222"/>
          <w:sz w:val="22"/>
        </w:rPr>
        <w:t>Flying strictly along historically verified minimum-distance flight paths. Guarantees deterministic flight times under calm weather, but leaves system vulnerable if headwinds turn a short path into a high-battery-consumption trajectory.</w:t>
      </w:r>
    </w:p>
    <w:p>
      <w:pPr>
        <w:keepNext/>
        <w:spacing w:before="200" w:after="80"/>
      </w:pPr>
      <w:r>
        <w:rPr>
          <w:rFonts w:ascii="Arial" w:hAnsi="Arial"/>
          <w:b/>
          <w:color w:val="333333"/>
          <w:sz w:val="24"/>
        </w:rPr>
        <w:t>3. Exploration Strategies Table</w:t>
      </w:r>
    </w:p>
    <w:tbl>
      <w:tblPr>
        <w:tblW w:type="auto" w:w="0"/>
        <w:jc w:val="center"/>
        <w:tblLook w:firstColumn="1" w:firstRow="1" w:lastColumn="0" w:lastRow="0" w:noHBand="0" w:noVBand="1" w:val="04A0"/>
      </w:tblPr>
      <w:tblGrid>
        <w:gridCol w:w="3120"/>
        <w:gridCol w:w="3120"/>
        <w:gridCol w:w="3120"/>
      </w:tblGrid>
      <w:tr>
        <w:tc>
          <w:tcPr>
            <w:tcW w:type="dxa" w:w="3120"/>
            <w:shd w:fill="003366"/>
          </w:tcPr>
          <w:p>
            <w:pPr>
              <w:spacing w:after="40"/>
            </w:pPr>
            <w:r>
              <w:rPr>
                <w:rFonts w:ascii="Arial" w:hAnsi="Arial"/>
                <w:b/>
                <w:color w:val="FFFFFF"/>
                <w:sz w:val="20"/>
              </w:rPr>
              <w:t>Method</w:t>
            </w:r>
          </w:p>
        </w:tc>
        <w:tc>
          <w:tcPr>
            <w:tcW w:type="dxa" w:w="3120"/>
            <w:shd w:fill="003366"/>
          </w:tcPr>
          <w:p>
            <w:pPr>
              <w:spacing w:after="40"/>
            </w:pPr>
            <w:r>
              <w:rPr>
                <w:rFonts w:ascii="Arial" w:hAnsi="Arial"/>
                <w:b/>
                <w:color w:val="FFFFFF"/>
                <w:sz w:val="20"/>
              </w:rPr>
              <w:t>Operational Mechanism</w:t>
            </w:r>
          </w:p>
        </w:tc>
        <w:tc>
          <w:tcPr>
            <w:tcW w:type="dxa" w:w="3120"/>
            <w:shd w:fill="003366"/>
          </w:tcPr>
          <w:p>
            <w:pPr>
              <w:spacing w:after="40"/>
            </w:pPr>
            <w:r>
              <w:rPr>
                <w:rFonts w:ascii="Arial" w:hAnsi="Arial"/>
                <w:b/>
                <w:color w:val="FFFFFF"/>
                <w:sz w:val="20"/>
              </w:rPr>
              <w:t>Flight Impact</w:t>
            </w:r>
          </w:p>
        </w:tc>
      </w:tr>
      <w:tr>
        <w:tc>
          <w:tcPr>
            <w:tcW w:type="dxa" w:w="3120"/>
            <w:shd w:fill="F8F9FA"/>
          </w:tcPr>
          <w:p>
            <w:r>
              <w:rPr>
                <w:sz w:val="19"/>
              </w:rPr>
              <w:t>Simulation Pre-training (Sim-to-Real)</w:t>
            </w:r>
          </w:p>
        </w:tc>
        <w:tc>
          <w:tcPr>
            <w:tcW w:type="dxa" w:w="3120"/>
            <w:shd w:fill="F8F9FA"/>
          </w:tcPr>
          <w:p>
            <w:r>
              <w:rPr>
                <w:sz w:val="19"/>
              </w:rPr>
              <w:t>High exploration in digital twin simulation using high epsilon.</w:t>
            </w:r>
          </w:p>
        </w:tc>
        <w:tc>
          <w:tcPr>
            <w:tcW w:type="dxa" w:w="3120"/>
            <w:shd w:fill="F8F9FA"/>
          </w:tcPr>
          <w:p>
            <w:r>
              <w:rPr>
                <w:sz w:val="19"/>
              </w:rPr>
              <w:t>Discovers safe paths with zero real-world physical hardware risk.</w:t>
            </w:r>
          </w:p>
        </w:tc>
      </w:tr>
      <w:tr>
        <w:tc>
          <w:tcPr>
            <w:tcW w:type="dxa" w:w="3120"/>
            <w:shd w:fill="FFFFFF"/>
          </w:tcPr>
          <w:p>
            <w:r>
              <w:rPr>
                <w:sz w:val="19"/>
              </w:rPr>
              <w:t>Upper Confidence Bound (UCB) Search</w:t>
            </w:r>
          </w:p>
        </w:tc>
        <w:tc>
          <w:tcPr>
            <w:tcW w:type="dxa" w:w="3120"/>
            <w:shd w:fill="FFFFFF"/>
          </w:tcPr>
          <w:p>
            <w:r>
              <w:rPr>
                <w:sz w:val="19"/>
              </w:rPr>
              <w:t>Explores trajectories with high spatial uncertainty bounds UCB(s,a).</w:t>
            </w:r>
          </w:p>
        </w:tc>
        <w:tc>
          <w:tcPr>
            <w:tcW w:type="dxa" w:w="3120"/>
            <w:shd w:fill="FFFFFF"/>
          </w:tcPr>
          <w:p>
            <w:r>
              <w:rPr>
                <w:sz w:val="19"/>
              </w:rPr>
              <w:t>Directs exploration to unmapped air corridors systematically.</w:t>
            </w:r>
          </w:p>
        </w:tc>
      </w:tr>
      <w:tr>
        <w:tc>
          <w:tcPr>
            <w:tcW w:type="dxa" w:w="3120"/>
            <w:shd w:fill="F8F9FA"/>
          </w:tcPr>
          <w:p>
            <w:r>
              <w:rPr>
                <w:sz w:val="19"/>
              </w:rPr>
              <w:t>Safe Constrained Exploration</w:t>
            </w:r>
          </w:p>
        </w:tc>
        <w:tc>
          <w:tcPr>
            <w:tcW w:type="dxa" w:w="3120"/>
            <w:shd w:fill="F8F9FA"/>
          </w:tcPr>
          <w:p>
            <w:r>
              <w:rPr>
                <w:sz w:val="19"/>
              </w:rPr>
              <w:t>Hard geometric safety shields override actions nearing boundaries/low battery.</w:t>
            </w:r>
          </w:p>
        </w:tc>
        <w:tc>
          <w:tcPr>
            <w:tcW w:type="dxa" w:w="3120"/>
            <w:shd w:fill="F8F9FA"/>
          </w:tcPr>
          <w:p>
            <w:r>
              <w:rPr>
                <w:sz w:val="19"/>
              </w:rPr>
              <w:t>Permits exploration within strict, safe flight envelopes.</w:t>
            </w:r>
          </w:p>
        </w:tc>
      </w:tr>
    </w:tbl>
    <w:p>
      <w:pPr>
        <w:spacing w:after="80"/>
      </w:pPr>
    </w:p>
    <w:p>
      <w:pPr>
        <w:keepNext/>
        <w:spacing w:before="280" w:after="120"/>
      </w:pPr>
      <w:r>
        <w:rPr>
          <w:rFonts w:ascii="Arial" w:hAnsi="Arial"/>
          <w:b/>
          <w:color w:val="003366"/>
          <w:sz w:val="28"/>
        </w:rPr>
        <w:t>Question 8: Manufacturing Robot Assembly Optimization</w:t>
      </w:r>
    </w:p>
    <w:p>
      <w:pPr>
        <w:keepNext/>
        <w:spacing w:before="200" w:after="80"/>
      </w:pPr>
      <w:r>
        <w:rPr>
          <w:rFonts w:ascii="Arial" w:hAnsi="Arial"/>
          <w:b/>
          <w:color w:val="333333"/>
          <w:sz w:val="24"/>
        </w:rPr>
        <w:t>1. System Environment &amp; Kinematic Control</w:t>
      </w:r>
    </w:p>
    <w:p>
      <w:pPr>
        <w:spacing w:before="0" w:after="80" w:line="276" w:lineRule="auto"/>
      </w:pPr>
      <w:r>
        <w:rPr>
          <w:rFonts w:ascii="Calibri" w:hAnsi="Calibri"/>
          <w:i w:val="0"/>
          <w:color w:val="222222"/>
          <w:sz w:val="22"/>
        </w:rPr>
        <w:t>An industrial multi-axis robotic arm tasked with assembling complex mechanical components (e.g., inserting a precise shaft into a housing block) must minimize cycle time, avoid joint torque limits, prevent mechanical wear, and maintain zero alignment error during insertion operations.</w:t>
      </w:r>
    </w:p>
    <w:p>
      <w:pPr>
        <w:keepNext/>
        <w:spacing w:before="200" w:after="80"/>
      </w:pPr>
      <w:r>
        <w:rPr>
          <w:rFonts w:ascii="Arial" w:hAnsi="Arial"/>
          <w:b/>
          <w:color w:val="333333"/>
          <w:sz w:val="24"/>
        </w:rPr>
        <w:t>2. Reinforcement Learning Framework Setup</w:t>
      </w:r>
    </w:p>
    <w:p>
      <w:pPr>
        <w:pStyle w:val="ListBullet"/>
        <w:spacing w:before="0" w:after="60" w:line="276" w:lineRule="auto"/>
        <w:ind w:left="360"/>
      </w:pPr>
      <w:r>
        <w:rPr>
          <w:rFonts w:ascii="Calibri" w:hAnsi="Calibri"/>
          <w:b/>
          <w:color w:val="222222"/>
          <w:sz w:val="22"/>
        </w:rPr>
        <w:t xml:space="preserve">State Space (S): </w:t>
      </w:r>
      <w:r>
        <w:rPr>
          <w:rFonts w:ascii="Calibri" w:hAnsi="Calibri"/>
          <w:color w:val="222222"/>
          <w:sz w:val="22"/>
        </w:rPr>
        <w:t>St = [ θ_t, θ_dot_t, x_effector, F_wrist, T_wrist, e_alignment ]. Tracks joint angles, joint angular velocities, cartesian pose, 6-axis force-torque sensor signals, and alignment error.</w:t>
      </w:r>
    </w:p>
    <w:p>
      <w:pPr>
        <w:pStyle w:val="ListBullet"/>
        <w:spacing w:before="0" w:after="60" w:line="276" w:lineRule="auto"/>
        <w:ind w:left="360"/>
      </w:pPr>
      <w:r>
        <w:rPr>
          <w:rFonts w:ascii="Calibri" w:hAnsi="Calibri"/>
          <w:b/>
          <w:color w:val="222222"/>
          <w:sz w:val="22"/>
        </w:rPr>
        <w:t xml:space="preserve">Action Space (A): </w:t>
      </w:r>
      <w:r>
        <w:rPr>
          <w:rFonts w:ascii="Calibri" w:hAnsi="Calibri"/>
          <w:color w:val="222222"/>
          <w:sz w:val="22"/>
        </w:rPr>
        <w:t>At = [ Δτ1, Δτ2, ..., Δτn ] or Cartesian pose adjustments [ Δx, Δy, Δz, Δϕ, Δθ, Δψ ].</w:t>
      </w:r>
    </w:p>
    <w:p>
      <w:pPr>
        <w:pStyle w:val="ListBullet"/>
        <w:spacing w:before="0" w:after="60" w:line="276" w:lineRule="auto"/>
        <w:ind w:left="360"/>
      </w:pPr>
      <w:r>
        <w:rPr>
          <w:rFonts w:ascii="Calibri" w:hAnsi="Calibri"/>
          <w:b/>
          <w:color w:val="222222"/>
          <w:sz w:val="22"/>
        </w:rPr>
        <w:t xml:space="preserve">Reward Function (R): </w:t>
      </w:r>
      <w:r>
        <w:rPr>
          <w:rFonts w:ascii="Calibri" w:hAnsi="Calibri"/>
          <w:color w:val="222222"/>
          <w:sz w:val="22"/>
        </w:rPr>
        <w:t>Rt = − [ w1 · ||e_alignment||^2 + w2 · ||θ_dot||^2 + w3 · ||F_wrist||^2 ] + R_assembly_success.</w:t>
      </w:r>
    </w:p>
    <w:p>
      <w:pPr>
        <w:keepNext/>
        <w:spacing w:before="200" w:after="80"/>
      </w:pPr>
      <w:r>
        <w:rPr>
          <w:rFonts w:ascii="Arial" w:hAnsi="Arial"/>
          <w:b/>
          <w:color w:val="333333"/>
          <w:sz w:val="24"/>
        </w:rPr>
        <w:t>3. Role of Policy (π) and Value Functions (V / Q)</w:t>
      </w:r>
    </w:p>
    <w:p>
      <w:pPr>
        <w:spacing w:before="0" w:after="80" w:line="276" w:lineRule="auto"/>
      </w:pPr>
      <w:r>
        <w:rPr>
          <w:rFonts w:ascii="Calibri" w:hAnsi="Calibri"/>
          <w:i w:val="0"/>
          <w:color w:val="222222"/>
          <w:sz w:val="22"/>
        </w:rPr>
        <w:t>The Policy π(a|s) maps continuous joint configurations and force feedback directly to motor torque commands. The Action-Value Function Q*(s,a) evaluates long-term assembly efficiency via the Continuous Dynamic Programming Bellman Equation: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Continuous Bellman Equation: </w:t>
            </w:r>
            <w:r>
              <w:rPr>
                <w:rFonts w:ascii="Calibri" w:hAnsi="Calibri"/>
                <w:i/>
                <w:color w:val="333333"/>
                <w:sz w:val="21"/>
              </w:rPr>
              <w:t>Q*(s, a) = R(s, a) + γ ∫ P(s'|s, a) max_{a'} Q*(s', a') ds'</w:t>
            </w:r>
          </w:p>
        </w:tc>
      </w:tr>
    </w:tbl>
    <w:p>
      <w:pPr>
        <w:spacing w:after="80"/>
      </w:pPr>
    </w:p>
    <w:p>
      <w:pPr>
        <w:pStyle w:val="ListBullet"/>
        <w:spacing w:before="0" w:after="60" w:line="276" w:lineRule="auto"/>
        <w:ind w:left="360"/>
      </w:pPr>
      <w:r>
        <w:rPr>
          <w:rFonts w:ascii="Calibri" w:hAnsi="Calibri"/>
          <w:b/>
          <w:color w:val="222222"/>
          <w:sz w:val="22"/>
        </w:rPr>
        <w:t xml:space="preserve">Trajectory Smoothing: </w:t>
      </w:r>
      <w:r>
        <w:rPr>
          <w:rFonts w:ascii="Calibri" w:hAnsi="Calibri"/>
          <w:color w:val="222222"/>
          <w:sz w:val="22"/>
        </w:rPr>
        <w:t>High velocity changes generate negative value updates, forcing the policy to smooth out joint torque spikes and eliminate jerky movements.</w:t>
      </w:r>
    </w:p>
    <w:p>
      <w:pPr>
        <w:pStyle w:val="ListBullet"/>
        <w:spacing w:before="0" w:after="60" w:line="276" w:lineRule="auto"/>
        <w:ind w:left="360"/>
      </w:pPr>
      <w:r>
        <w:rPr>
          <w:rFonts w:ascii="Calibri" w:hAnsi="Calibri"/>
          <w:b/>
          <w:color w:val="222222"/>
          <w:sz w:val="22"/>
        </w:rPr>
        <w:t xml:space="preserve">Force-Guided Compliance: </w:t>
      </w:r>
      <w:r>
        <w:rPr>
          <w:rFonts w:ascii="Calibri" w:hAnsi="Calibri"/>
          <w:color w:val="222222"/>
          <w:sz w:val="22"/>
        </w:rPr>
        <w:t>The value function assigns high penalties to large force readings. The policy learns force-guided compliance—gently adjusting position in response to tactile contact, achieving zero-error assembly.</w:t>
      </w:r>
    </w:p>
    <w:p>
      <w:pPr>
        <w:keepNext/>
        <w:spacing w:before="280" w:after="120"/>
      </w:pPr>
      <w:r>
        <w:rPr>
          <w:rFonts w:ascii="Arial" w:hAnsi="Arial"/>
          <w:b/>
          <w:color w:val="003366"/>
          <w:sz w:val="28"/>
        </w:rPr>
        <w:t>Question 9: Online Advertising Click-Through Rate (CTR) System</w:t>
      </w:r>
    </w:p>
    <w:p>
      <w:pPr>
        <w:keepNext/>
        <w:spacing w:before="200" w:after="80"/>
      </w:pPr>
      <w:r>
        <w:rPr>
          <w:rFonts w:ascii="Arial" w:hAnsi="Arial"/>
          <w:b/>
          <w:color w:val="333333"/>
          <w:sz w:val="24"/>
        </w:rPr>
        <w:t>1. System Framework &amp; Recommendation Dynamics</w:t>
      </w:r>
    </w:p>
    <w:p>
      <w:pPr>
        <w:spacing w:before="0" w:after="80" w:line="276" w:lineRule="auto"/>
      </w:pPr>
      <w:r>
        <w:rPr>
          <w:rFonts w:ascii="Calibri" w:hAnsi="Calibri"/>
          <w:i w:val="0"/>
          <w:color w:val="222222"/>
          <w:sz w:val="22"/>
        </w:rPr>
        <w:t>Online ad recommendation systems select ads from a vast campaign pool to show users in real time. The goal is to maximize Click-Through Rates (CTR), conversion events, and publisher revenue while maintaining a positive user experience.</w:t>
      </w:r>
    </w:p>
    <w:p>
      <w:pPr>
        <w:keepNext/>
        <w:spacing w:before="200" w:after="80"/>
      </w:pPr>
      <w:r>
        <w:rPr>
          <w:rFonts w:ascii="Arial" w:hAnsi="Arial"/>
          <w:b/>
          <w:color w:val="333333"/>
          <w:sz w:val="24"/>
        </w:rPr>
        <w:t>2. Reward Design Challenges &amp; Structural Pitfalls</w:t>
      </w:r>
    </w:p>
    <w:p>
      <w:pPr>
        <w:pStyle w:val="ListBullet"/>
        <w:spacing w:before="0" w:after="60" w:line="276" w:lineRule="auto"/>
        <w:ind w:left="360"/>
      </w:pPr>
      <w:r>
        <w:rPr>
          <w:rFonts w:ascii="Calibri" w:hAnsi="Calibri"/>
          <w:b/>
          <w:color w:val="222222"/>
          <w:sz w:val="22"/>
        </w:rPr>
        <w:t xml:space="preserve">Delayed &amp; Asynchronous Feedback: </w:t>
      </w:r>
      <w:r>
        <w:rPr>
          <w:rFonts w:ascii="Calibri" w:hAnsi="Calibri"/>
          <w:color w:val="222222"/>
          <w:sz w:val="22"/>
        </w:rPr>
        <w:t>An ad impression occurs in milliseconds, a click may occur seconds later, but a conversion can take hours or days. Attributing delayed rewards creates credit assignment difficulties.</w:t>
      </w:r>
    </w:p>
    <w:p>
      <w:pPr>
        <w:pStyle w:val="ListBullet"/>
        <w:spacing w:before="0" w:after="60" w:line="276" w:lineRule="auto"/>
        <w:ind w:left="360"/>
      </w:pPr>
      <w:r>
        <w:rPr>
          <w:rFonts w:ascii="Calibri" w:hAnsi="Calibri"/>
          <w:b/>
          <w:color w:val="222222"/>
          <w:sz w:val="22"/>
        </w:rPr>
        <w:t xml:space="preserve">Clickbait Traps vs. User Churn: </w:t>
      </w:r>
      <w:r>
        <w:rPr>
          <w:rFonts w:ascii="Calibri" w:hAnsi="Calibri"/>
          <w:color w:val="222222"/>
          <w:sz w:val="22"/>
        </w:rPr>
        <w:t>Rewarding raw clicks causes the agent to favor clickbait ads, damaging long-term user trust and retention.</w:t>
      </w:r>
    </w:p>
    <w:p>
      <w:pPr>
        <w:pStyle w:val="ListBullet"/>
        <w:spacing w:before="0" w:after="60" w:line="276" w:lineRule="auto"/>
        <w:ind w:left="360"/>
      </w:pPr>
      <w:r>
        <w:rPr>
          <w:rFonts w:ascii="Calibri" w:hAnsi="Calibri"/>
          <w:b/>
          <w:color w:val="222222"/>
          <w:sz w:val="22"/>
        </w:rPr>
        <w:t xml:space="preserve">Data Sparsity: </w:t>
      </w:r>
      <w:r>
        <w:rPr>
          <w:rFonts w:ascii="Calibri" w:hAnsi="Calibri"/>
          <w:color w:val="222222"/>
          <w:sz w:val="22"/>
        </w:rPr>
        <w:t>Conversion events represent a tiny fraction (&lt;0.1%) of impressions, leading to sparse rewards and slow policy convergence.</w:t>
      </w:r>
    </w:p>
    <w:p>
      <w:pPr>
        <w:pStyle w:val="ListBullet"/>
        <w:spacing w:before="0" w:after="60" w:line="276" w:lineRule="auto"/>
        <w:ind w:left="360"/>
      </w:pPr>
      <w:r>
        <w:rPr>
          <w:rFonts w:ascii="Calibri" w:hAnsi="Calibri"/>
          <w:b/>
          <w:color w:val="222222"/>
          <w:sz w:val="22"/>
        </w:rPr>
        <w:t xml:space="preserve">Cold-Start Bias: </w:t>
      </w:r>
      <w:r>
        <w:rPr>
          <w:rFonts w:ascii="Calibri" w:hAnsi="Calibri"/>
          <w:color w:val="222222"/>
          <w:sz w:val="22"/>
        </w:rPr>
        <w:t>Newly introduced campaigns have no interaction history; over-exploiting proven ads prevents new campaigns from getting impressions.</w:t>
      </w:r>
    </w:p>
    <w:p>
      <w:pPr>
        <w:keepNext/>
        <w:spacing w:before="200" w:after="80"/>
      </w:pPr>
      <w:r>
        <w:rPr>
          <w:rFonts w:ascii="Arial" w:hAnsi="Arial"/>
          <w:b/>
          <w:color w:val="333333"/>
          <w:sz w:val="24"/>
        </w:rPr>
        <w:t>3. Multi-Objective Ad Reward Model</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3366"/>
              <w:top w:val="none"/>
              <w:right w:val="none"/>
              <w:bottom w:val="none"/>
            </w:tcBorders>
          </w:tcPr>
          <w:p>
            <w:pPr>
              <w:spacing w:before="40" w:after="40" w:line="276" w:lineRule="auto"/>
            </w:pPr>
            <w:r>
              <w:rPr>
                <w:rFonts w:ascii="Calibri" w:hAnsi="Calibri"/>
                <w:b/>
                <w:color w:val="003366"/>
                <w:sz w:val="21"/>
              </w:rPr>
              <w:t xml:space="preserve">Multi-Objective Reward: </w:t>
            </w:r>
            <w:r>
              <w:rPr>
                <w:rFonts w:ascii="Calibri" w:hAnsi="Calibri"/>
                <w:i/>
                <w:color w:val="333333"/>
                <w:sz w:val="21"/>
              </w:rPr>
              <w:t>R(s, a) = w1 · I_click + w2 · log(T_dwell) + w3 · ConversionValue − w4 · I_bounce_penalty</w:t>
            </w:r>
          </w:p>
        </w:tc>
      </w:tr>
    </w:tbl>
    <w:p>
      <w:pPr>
        <w:spacing w:after="80"/>
      </w:pPr>
    </w:p>
    <w:p>
      <w:pPr>
        <w:spacing w:before="0" w:after="80" w:line="276" w:lineRule="auto"/>
      </w:pPr>
      <w:r>
        <w:rPr>
          <w:rFonts w:ascii="Calibri" w:hAnsi="Calibri"/>
          <w:i w:val="0"/>
          <w:color w:val="222222"/>
          <w:sz w:val="22"/>
        </w:rPr>
        <w:t>Where I_bounce_penalty triggers if the user exits the landing page within 3 seconds, penalizing clickbait ads and optimizing long-term platform revenue.</w:t>
      </w:r>
    </w:p>
    <w:p>
      <w:pPr>
        <w:keepNext/>
        <w:spacing w:before="280" w:after="120"/>
      </w:pPr>
      <w:r>
        <w:rPr>
          <w:rFonts w:ascii="Arial" w:hAnsi="Arial"/>
          <w:b/>
          <w:color w:val="003366"/>
          <w:sz w:val="28"/>
        </w:rPr>
        <w:t>Question 10: Smart Irrigation RL Framework</w:t>
      </w:r>
    </w:p>
    <w:p>
      <w:pPr>
        <w:keepNext/>
        <w:spacing w:before="200" w:after="80"/>
      </w:pPr>
      <w:r>
        <w:rPr>
          <w:rFonts w:ascii="Arial" w:hAnsi="Arial"/>
          <w:b/>
          <w:color w:val="333333"/>
          <w:sz w:val="24"/>
        </w:rPr>
        <w:t>1. Operational Context &amp; Resource Optimization</w:t>
      </w:r>
    </w:p>
    <w:p>
      <w:pPr>
        <w:spacing w:before="0" w:after="80" w:line="276" w:lineRule="auto"/>
      </w:pPr>
      <w:r>
        <w:rPr>
          <w:rFonts w:ascii="Calibri" w:hAnsi="Calibri"/>
          <w:i w:val="0"/>
          <w:color w:val="222222"/>
          <w:sz w:val="22"/>
        </w:rPr>
        <w:t>Agricultural irrigation management requires balancing crop hydration needs against limited water availability, electrical pumping costs, and environmental impacts (such as soil salinization and soil erosion due to over-watering). An RL-driven smart irrigation system models the soil-crop-atmosphere continuum to deliver dynamic irrigation schedules.</w:t>
      </w:r>
    </w:p>
    <w:p>
      <w:pPr>
        <w:keepNext/>
        <w:spacing w:before="200" w:after="80"/>
      </w:pPr>
      <w:r>
        <w:rPr>
          <w:rFonts w:ascii="Arial" w:hAnsi="Arial"/>
          <w:b/>
          <w:color w:val="333333"/>
          <w:sz w:val="24"/>
        </w:rPr>
        <w:t>2. Comprehensive RL Model Specification</w:t>
      </w:r>
    </w:p>
    <w:p>
      <w:pPr>
        <w:pStyle w:val="ListBullet"/>
        <w:spacing w:before="0" w:after="60" w:line="276" w:lineRule="auto"/>
        <w:ind w:left="360"/>
      </w:pPr>
      <w:r>
        <w:rPr>
          <w:rFonts w:ascii="Calibri" w:hAnsi="Calibri"/>
          <w:b/>
          <w:color w:val="222222"/>
          <w:sz w:val="22"/>
        </w:rPr>
        <w:t xml:space="preserve">State Space (S): </w:t>
      </w:r>
      <w:r>
        <w:rPr>
          <w:rFonts w:ascii="Calibri" w:hAnsi="Calibri"/>
          <w:color w:val="222222"/>
          <w:sz w:val="22"/>
        </w:rPr>
        <w:t>St = [ M_surface, M_root_zone, M_deep, T_air, H_air, E_solar, P_forecast_24h, Crop_stage ]. Tracks soil moisture at 10cm, 30cm, 60cm depths, weather telemetry, 24-48h rain forecast, and crop stage.</w:t>
      </w:r>
    </w:p>
    <w:p>
      <w:pPr>
        <w:pStyle w:val="ListBullet"/>
        <w:spacing w:before="0" w:after="60" w:line="276" w:lineRule="auto"/>
        <w:ind w:left="360"/>
      </w:pPr>
      <w:r>
        <w:rPr>
          <w:rFonts w:ascii="Calibri" w:hAnsi="Calibri"/>
          <w:b/>
          <w:color w:val="222222"/>
          <w:sz w:val="22"/>
        </w:rPr>
        <w:t xml:space="preserve">Action Space (A): </w:t>
      </w:r>
      <w:r>
        <w:rPr>
          <w:rFonts w:ascii="Calibri" w:hAnsi="Calibri"/>
          <w:color w:val="222222"/>
          <w:sz w:val="22"/>
        </w:rPr>
        <w:t>At ∈ { 0 L/m², 2 L/m², 5 L/m², 10 L/m², 15 L/m² }.</w:t>
      </w:r>
    </w:p>
    <w:p>
      <w:pPr>
        <w:pStyle w:val="ListBullet"/>
        <w:spacing w:before="0" w:after="60" w:line="276" w:lineRule="auto"/>
        <w:ind w:left="360"/>
      </w:pPr>
      <w:r>
        <w:rPr>
          <w:rFonts w:ascii="Calibri" w:hAnsi="Calibri"/>
          <w:b/>
          <w:color w:val="222222"/>
          <w:sz w:val="22"/>
        </w:rPr>
        <w:t xml:space="preserve">Reward Function (R): </w:t>
      </w:r>
      <w:r>
        <w:rPr>
          <w:rFonts w:ascii="Calibri" w:hAnsi="Calibri"/>
          <w:color w:val="222222"/>
          <w:sz w:val="22"/>
        </w:rPr>
        <w:t>Rt = α · f(Crop Health) − β · V_water(at) − γ · C_electricity(at) − δ · P_stress.</w:t>
      </w:r>
    </w:p>
    <w:p>
      <w:pPr>
        <w:keepNext/>
        <w:spacing w:before="200" w:after="80"/>
      </w:pPr>
      <w:r>
        <w:rPr>
          <w:rFonts w:ascii="Arial" w:hAnsi="Arial"/>
          <w:b/>
          <w:color w:val="333333"/>
          <w:sz w:val="24"/>
        </w:rPr>
        <w:t>3. Predictive Water Conservation Trajectory</w:t>
      </w:r>
    </w:p>
    <w:p>
      <w:pPr>
        <w:spacing w:before="0" w:after="80" w:line="276" w:lineRule="auto"/>
      </w:pPr>
      <w:r>
        <w:rPr>
          <w:rFonts w:ascii="Calibri" w:hAnsi="Calibri"/>
          <w:i w:val="0"/>
          <w:color w:val="222222"/>
          <w:sz w:val="22"/>
        </w:rPr>
        <w:t>Through iterative updates, the agent learns to interpret environmental forecasts: if M_root_zone is slightly low but P_forecast_24h predicts heavy rain within 12 hours, the RL model suppresses active irrigation (At = 0). This conserves water and prevents nutrient leaching, outperforming static threshold-based sensors.</w:t>
      </w:r>
    </w:p>
    <w:p>
      <w:pPr>
        <w:spacing w:after="200"/>
      </w:pPr>
    </w:p>
    <w:p>
      <w:pPr>
        <w:keepNext/>
        <w:spacing w:before="280" w:after="120"/>
      </w:pPr>
      <w:r>
        <w:rPr>
          <w:rFonts w:ascii="Arial" w:hAnsi="Arial"/>
          <w:b/>
          <w:color w:val="003366"/>
          <w:sz w:val="28"/>
        </w:rPr>
        <w:t>Academic Integrity Declaration</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Borders>
              <w:left w:val="single" w:sz="12" w:space="0" w:color="CCCCCC"/>
              <w:top w:val="single" w:sz="12" w:space="0" w:color="CCCCCC"/>
              <w:right w:val="single" w:sz="12" w:space="0" w:color="CCCCCC"/>
              <w:bottom w:val="single" w:sz="12" w:space="0" w:color="CCCCCC"/>
            </w:tcBorders>
          </w:tcPr>
          <w:p>
            <w:pPr>
              <w:spacing w:after="120" w:line="276" w:lineRule="auto"/>
            </w:pPr>
            <w:r>
              <w:rPr>
                <w:sz w:val="21"/>
              </w:rPr>
              <w:t xml:space="preserve">I </w:t>
            </w:r>
            <w:r>
              <w:rPr>
                <w:b/>
                <w:sz w:val="21"/>
              </w:rPr>
              <w:t>Thanuja R / 192325004</w:t>
            </w:r>
            <w:r>
              <w:rPr>
                <w:sz w:val="21"/>
              </w:rPr>
              <w:t xml:space="preserve"> certify that this submission is my original work and that I have adhered to the guidelines specified for this assessment. I understand that any violation of academic integrity rules will result in disciplinary action.</w:t>
            </w:r>
          </w:p>
          <w:p>
            <w:pPr>
              <w:spacing w:before="160" w:after="0"/>
            </w:pPr>
            <w:r>
              <w:rPr>
                <w:b/>
                <w:sz w:val="21"/>
              </w:rPr>
              <w:t xml:space="preserve">Signature of the Student: </w:t>
            </w:r>
            <w:r>
              <w:rPr>
                <w:i/>
                <w:sz w:val="21"/>
              </w:rPr>
              <w:t>Thanuja 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