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1B365D"/>
          <w:sz w:val="40"/>
        </w:rPr>
        <w:t>SIMATS ENGINEERING</w:t>
      </w:r>
    </w:p>
    <w:p>
      <w:pPr>
        <w:spacing w:after="240"/>
        <w:jc w:val="center"/>
      </w:pPr>
      <w:r>
        <w:rPr>
          <w:rFonts w:ascii="Calibri" w:hAnsi="Calibri"/>
          <w:b/>
          <w:color w:val="46505F"/>
          <w:sz w:val="22"/>
        </w:rPr>
        <w:t>DEPARTMENT OF ARTIFICIAL INTELLIGENCE &amp; MACHINE LEARNING</w:t>
        <w:br/>
        <w:t>ASSESSMENT TOOL 1 — INDUSTRY PROBLEM TASK (CO2)</w:t>
      </w:r>
    </w:p>
    <w:tbl>
      <w:tblPr>
        <w:tblW w:type="auto" w:w="0"/>
        <w:jc w:val="center"/>
        <w:tblLayout w:type="fixed"/>
        <w:tblLook w:firstColumn="1" w:firstRow="1" w:lastColumn="0" w:lastRow="0" w:noHBand="0" w:noVBand="1" w:val="04A0"/>
      </w:tblPr>
      <w:tblGrid>
        <w:gridCol w:w="4680"/>
        <w:gridCol w:w="4680"/>
      </w:tblGrid>
      <w:tr>
        <w:tc>
          <w:tcPr>
            <w:tcW w:type="dxa" w:w="4680"/>
            <w:shd w:fill="F0F4F8"/>
            <w:tcMar>
              <w:top w:w="120" w:type="dxa"/>
              <w:bottom w:w="120" w:type="dxa"/>
              <w:left w:w="150" w:type="dxa"/>
              <w:right w:w="150" w:type="dxa"/>
            </w:tcMar>
          </w:tcPr>
          <w:p>
            <w:pPr>
              <w:spacing w:after="0" w:before="0"/>
            </w:pPr>
            <w:r>
              <w:rPr>
                <w:rFonts w:ascii="Calibri" w:hAnsi="Calibri"/>
                <w:b/>
                <w:color w:val="1B365D"/>
                <w:sz w:val="20"/>
              </w:rPr>
              <w:t>Course Code &amp; Name:</w:t>
            </w:r>
            <w:r>
              <w:rPr>
                <w:rFonts w:ascii="Calibri" w:hAnsi="Calibri"/>
                <w:color w:val="282828"/>
                <w:sz w:val="20"/>
              </w:rPr>
              <w:t xml:space="preserve"> MLA03 - Reinforcement Learning for Environment and Agent</w:t>
            </w:r>
          </w:p>
        </w:tc>
        <w:tc>
          <w:tcPr>
            <w:tcW w:type="dxa" w:w="4680"/>
            <w:shd w:fill="F0F4F8"/>
            <w:tcMar>
              <w:top w:w="120" w:type="dxa"/>
              <w:bottom w:w="120" w:type="dxa"/>
              <w:left w:w="150" w:type="dxa"/>
              <w:right w:w="150" w:type="dxa"/>
            </w:tcMar>
          </w:tcPr>
          <w:p>
            <w:pPr>
              <w:spacing w:after="0" w:before="0"/>
            </w:pPr>
            <w:r>
              <w:rPr>
                <w:rFonts w:ascii="Calibri" w:hAnsi="Calibri"/>
                <w:b/>
                <w:color w:val="1B365D"/>
                <w:sz w:val="20"/>
              </w:rPr>
              <w:t>Student Name:</w:t>
            </w:r>
            <w:r>
              <w:rPr>
                <w:rFonts w:ascii="Calibri" w:hAnsi="Calibri"/>
                <w:color w:val="282828"/>
                <w:sz w:val="20"/>
              </w:rPr>
              <w:t xml:space="preserve"> Thanuja R</w:t>
            </w:r>
          </w:p>
        </w:tc>
      </w:tr>
      <w:tr>
        <w:tc>
          <w:tcPr>
            <w:tcW w:type="dxa" w:w="4680"/>
            <w:shd w:fill="F0F4F8"/>
            <w:tcMar>
              <w:top w:w="120" w:type="dxa"/>
              <w:bottom w:w="120" w:type="dxa"/>
              <w:left w:w="150" w:type="dxa"/>
              <w:right w:w="150" w:type="dxa"/>
            </w:tcMar>
          </w:tcPr>
          <w:p>
            <w:pPr>
              <w:spacing w:after="0" w:before="0"/>
            </w:pPr>
            <w:r>
              <w:rPr>
                <w:rFonts w:ascii="Calibri" w:hAnsi="Calibri"/>
                <w:b/>
                <w:color w:val="1B365D"/>
                <w:sz w:val="20"/>
              </w:rPr>
              <w:t>Course Outcome (CO):</w:t>
            </w:r>
            <w:r>
              <w:rPr>
                <w:rFonts w:ascii="Calibri" w:hAnsi="Calibri"/>
                <w:color w:val="282828"/>
                <w:sz w:val="20"/>
              </w:rPr>
              <w:t xml:space="preserve"> CO2 (Dynamic Programming &amp; Optimal Policies)</w:t>
            </w:r>
          </w:p>
        </w:tc>
        <w:tc>
          <w:tcPr>
            <w:tcW w:type="dxa" w:w="4680"/>
            <w:shd w:fill="F0F4F8"/>
            <w:tcMar>
              <w:top w:w="120" w:type="dxa"/>
              <w:bottom w:w="120" w:type="dxa"/>
              <w:left w:w="150" w:type="dxa"/>
              <w:right w:w="150" w:type="dxa"/>
            </w:tcMar>
          </w:tcPr>
          <w:p>
            <w:pPr>
              <w:spacing w:after="0" w:before="0"/>
            </w:pPr>
            <w:r>
              <w:rPr>
                <w:rFonts w:ascii="Calibri" w:hAnsi="Calibri"/>
                <w:b/>
                <w:color w:val="1B365D"/>
                <w:sz w:val="20"/>
              </w:rPr>
              <w:t>Register No:</w:t>
            </w:r>
            <w:r>
              <w:rPr>
                <w:rFonts w:ascii="Calibri" w:hAnsi="Calibri"/>
                <w:color w:val="282828"/>
                <w:sz w:val="20"/>
              </w:rPr>
              <w:t xml:space="preserve"> 192325004</w:t>
            </w:r>
          </w:p>
        </w:tc>
      </w:tr>
      <w:tr>
        <w:tc>
          <w:tcPr>
            <w:tcW w:type="dxa" w:w="4680"/>
            <w:shd w:fill="F0F4F8"/>
            <w:tcMar>
              <w:top w:w="120" w:type="dxa"/>
              <w:bottom w:w="120" w:type="dxa"/>
              <w:left w:w="150" w:type="dxa"/>
              <w:right w:w="150" w:type="dxa"/>
            </w:tcMar>
          </w:tcPr>
          <w:p>
            <w:pPr>
              <w:spacing w:after="0" w:before="0"/>
            </w:pPr>
            <w:r>
              <w:rPr>
                <w:rFonts w:ascii="Calibri" w:hAnsi="Calibri"/>
                <w:b/>
                <w:color w:val="1B365D"/>
                <w:sz w:val="20"/>
              </w:rPr>
              <w:t>Assessment Weightage:</w:t>
            </w:r>
            <w:r>
              <w:rPr>
                <w:rFonts w:ascii="Calibri" w:hAnsi="Calibri"/>
                <w:color w:val="282828"/>
                <w:sz w:val="20"/>
              </w:rPr>
              <w:t xml:space="preserve"> 35% | Total Marks: 50</w:t>
            </w:r>
          </w:p>
        </w:tc>
        <w:tc>
          <w:tcPr>
            <w:tcW w:type="dxa" w:w="4680"/>
            <w:shd w:fill="F0F4F8"/>
            <w:tcMar>
              <w:top w:w="120" w:type="dxa"/>
              <w:bottom w:w="120" w:type="dxa"/>
              <w:left w:w="150" w:type="dxa"/>
              <w:right w:w="150" w:type="dxa"/>
            </w:tcMar>
          </w:tcPr>
          <w:p>
            <w:pPr>
              <w:spacing w:after="0" w:before="0"/>
            </w:pPr>
            <w:r>
              <w:rPr>
                <w:rFonts w:ascii="Calibri" w:hAnsi="Calibri"/>
                <w:b/>
                <w:color w:val="1B365D"/>
                <w:sz w:val="20"/>
              </w:rPr>
              <w:t>Faculty:</w:t>
            </w:r>
            <w:r>
              <w:rPr>
                <w:rFonts w:ascii="Calibri" w:hAnsi="Calibri"/>
                <w:color w:val="282828"/>
                <w:sz w:val="20"/>
              </w:rPr>
              <w:t xml:space="preserve"> Dr. Dumpala Prasanth</w:t>
            </w:r>
          </w:p>
        </w:tc>
      </w:tr>
    </w:tbl>
    <w:p>
      <w:pPr>
        <w:spacing w:after="120"/>
      </w:pPr>
    </w:p>
    <w:p>
      <w:pPr>
        <w:keepNext/>
        <w:spacing w:before="320" w:after="120"/>
      </w:pPr>
      <w:r>
        <w:rPr>
          <w:rFonts w:ascii="Calibri" w:hAnsi="Calibri"/>
          <w:b/>
          <w:color w:val="1B365D"/>
          <w:sz w:val="24"/>
        </w:rPr>
        <w:t>QUESTION 1: LOGISTICS DELIVERY ROUTE OPTIMIZATION</w:t>
      </w:r>
      <w:r>
        <w:rPr>
          <w:rFonts w:ascii="Calibri" w:hAnsi="Calibri"/>
          <w:b/>
          <w:color w:val="B45014"/>
          <w:sz w:val="20"/>
        </w:rPr>
        <w:t xml:space="preserve">  [5 Marks]</w:t>
      </w:r>
    </w:p>
    <w:p>
      <w:pPr>
        <w:keepNext/>
        <w:spacing w:before="160" w:after="80"/>
      </w:pPr>
      <w:r>
        <w:rPr>
          <w:rFonts w:ascii="Calibri" w:hAnsi="Calibri"/>
          <w:b/>
          <w:color w:val="28508C"/>
          <w:sz w:val="22"/>
        </w:rPr>
        <w:t>1. System Context &amp; Need for Reinforcement Learning</w:t>
      </w:r>
    </w:p>
    <w:p>
      <w:pPr>
        <w:spacing w:before="0" w:after="80" w:line="276" w:lineRule="auto"/>
        <w:jc w:val="both"/>
      </w:pPr>
      <w:r>
        <w:rPr>
          <w:rFonts w:ascii="Calibri" w:hAnsi="Calibri"/>
          <w:color w:val="282828"/>
          <w:sz w:val="21"/>
        </w:rPr>
        <w:t>Logistics supply chains operate under dynamic environments subject to urban traffic congestion, dynamic order placements, unpredictable customer availability, and emergency cancellations. Traditional routing approaches like Dijkstra's algorithm or static Mixed-Integer Linear Programming (MILP) compute fixed routes prior to departure. When unexpected disruptions occur, these models require computationally expensive re-calculations. Reinforcement Learning (RL) models route generation as an interactive Markov Decision Process (MDP), enabling the vehicle agent to autonomously execute real-time adaptive re-routing without complete offline path re-computation.</w:t>
      </w:r>
    </w:p>
    <w:p>
      <w:pPr>
        <w:keepNext/>
        <w:spacing w:before="160" w:after="80"/>
      </w:pPr>
      <w:r>
        <w:rPr>
          <w:rFonts w:ascii="Calibri" w:hAnsi="Calibri"/>
          <w:b/>
          <w:color w:val="28508C"/>
          <w:sz w:val="22"/>
        </w:rPr>
        <w:t>2. Comprehensive MDP Formulation</w:t>
      </w:r>
    </w:p>
    <w:p>
      <w:pPr>
        <w:pStyle w:val="ListBullet"/>
        <w:spacing w:before="0" w:after="60" w:line="276" w:lineRule="auto"/>
        <w:ind w:left="360"/>
      </w:pPr>
      <w:r>
        <w:rPr>
          <w:rFonts w:ascii="Calibri" w:hAnsi="Calibri"/>
          <w:b/>
          <w:color w:val="1E1E1E"/>
          <w:sz w:val="21"/>
        </w:rPr>
        <w:t xml:space="preserve">State Space (S) — Spatial: </w:t>
      </w:r>
      <w:r>
        <w:rPr>
          <w:rFonts w:ascii="Calibri" w:hAnsi="Calibri"/>
          <w:color w:val="282828"/>
          <w:sz w:val="21"/>
        </w:rPr>
        <w:t>Current GPS coordinates, graph node ID, spatial position relative to depot and active delivery points.</w:t>
      </w:r>
    </w:p>
    <w:p>
      <w:pPr>
        <w:pStyle w:val="ListBullet"/>
        <w:spacing w:before="0" w:after="60" w:line="276" w:lineRule="auto"/>
        <w:ind w:left="360"/>
      </w:pPr>
      <w:r>
        <w:rPr>
          <w:rFonts w:ascii="Calibri" w:hAnsi="Calibri"/>
          <w:b/>
          <w:color w:val="1E1E1E"/>
          <w:sz w:val="21"/>
        </w:rPr>
        <w:t xml:space="preserve">State Space (S) — Temporal: </w:t>
      </w:r>
      <w:r>
        <w:rPr>
          <w:rFonts w:ascii="Calibri" w:hAnsi="Calibri"/>
          <w:color w:val="282828"/>
          <w:sz w:val="21"/>
        </w:rPr>
        <w:t>Current time of day, accumulated route time, customer-specific delivery time window constraints (SLAs).</w:t>
      </w:r>
    </w:p>
    <w:p>
      <w:pPr>
        <w:pStyle w:val="ListBullet"/>
        <w:spacing w:before="0" w:after="60" w:line="276" w:lineRule="auto"/>
        <w:ind w:left="360"/>
      </w:pPr>
      <w:r>
        <w:rPr>
          <w:rFonts w:ascii="Calibri" w:hAnsi="Calibri"/>
          <w:b/>
          <w:color w:val="1E1E1E"/>
          <w:sz w:val="21"/>
        </w:rPr>
        <w:t xml:space="preserve">State Space (S) — Environment: </w:t>
      </w:r>
      <w:r>
        <w:rPr>
          <w:rFonts w:ascii="Calibri" w:hAnsi="Calibri"/>
          <w:color w:val="282828"/>
          <w:sz w:val="21"/>
        </w:rPr>
        <w:t>Real-time traffic congestion index per road segment, historical road segment traversal speed, weather metrics.</w:t>
      </w:r>
    </w:p>
    <w:p>
      <w:pPr>
        <w:pStyle w:val="ListBullet"/>
        <w:spacing w:before="0" w:after="60" w:line="276" w:lineRule="auto"/>
        <w:ind w:left="360"/>
      </w:pPr>
      <w:r>
        <w:rPr>
          <w:rFonts w:ascii="Calibri" w:hAnsi="Calibri"/>
          <w:b/>
          <w:color w:val="1E1E1E"/>
          <w:sz w:val="21"/>
        </w:rPr>
        <w:t xml:space="preserve">State Space (S) — Fleet State: </w:t>
      </w:r>
      <w:r>
        <w:rPr>
          <w:rFonts w:ascii="Calibri" w:hAnsi="Calibri"/>
          <w:color w:val="282828"/>
          <w:sz w:val="21"/>
        </w:rPr>
        <w:t>Remaining cargo capacity, vehicle fuel/battery status, count of pending vs. completed orders.</w:t>
      </w:r>
    </w:p>
    <w:p>
      <w:pPr>
        <w:pStyle w:val="ListBullet"/>
        <w:spacing w:before="0" w:after="60" w:line="276" w:lineRule="auto"/>
        <w:ind w:left="360"/>
      </w:pPr>
      <w:r>
        <w:rPr>
          <w:rFonts w:ascii="Calibri" w:hAnsi="Calibri"/>
          <w:b/>
          <w:color w:val="1E1E1E"/>
          <w:sz w:val="21"/>
        </w:rPr>
        <w:t xml:space="preserve">Action Space (A): </w:t>
      </w:r>
      <w:r>
        <w:rPr>
          <w:rFonts w:ascii="Calibri" w:hAnsi="Calibri"/>
          <w:color w:val="282828"/>
          <w:sz w:val="21"/>
        </w:rPr>
        <w:t>Selecting the next physical road segment/intersection node from the current location adjacency list, dynamic re-ordering of remaining stops, or executing temporary holding maneuvers at transit hubs.</w:t>
      </w:r>
    </w:p>
    <w:p>
      <w:pPr>
        <w:spacing w:before="0" w:after="80" w:line="276" w:lineRule="auto"/>
        <w:jc w:val="both"/>
      </w:pPr>
      <w:r>
        <w:rPr>
          <w:rFonts w:ascii="Calibri" w:hAnsi="Calibri"/>
          <w:color w:val="282828"/>
          <w:sz w:val="21"/>
        </w:rPr>
        <w:t>The global objective is formulated as a composite reward function penalizing delays and operational costs while rewarding successful fulfilled orders:</w:t>
      </w:r>
    </w:p>
    <w:tbl>
      <w:tblPr>
        <w:tblW w:type="auto" w:w="0"/>
        <w:jc w:val="center"/>
        <w:tblLook w:firstColumn="1" w:firstRow="1" w:lastColumn="0" w:lastRow="0" w:noHBand="0" w:noVBand="1" w:val="04A0"/>
      </w:tblPr>
      <w:tblGrid>
        <w:gridCol w:w="9360"/>
      </w:tblGrid>
      <w:tr>
        <w:tc>
          <w:tcPr>
            <w:tcW w:type="dxa" w:w="9360"/>
            <w:shd w:fill="F7F9FA"/>
            <w:tcMar>
              <w:top w:w="80" w:type="dxa"/>
              <w:bottom w:w="80" w:type="dxa"/>
              <w:left w:w="150" w:type="dxa"/>
              <w:right w:w="150" w:type="dxa"/>
            </w:tcMar>
            <w:tcBorders>
              <w:left w:val="single" w:sz="24" w:space="0" w:color="1B365D"/>
              <w:top w:val="none"/>
              <w:right w:val="none"/>
              <w:bottom w:val="none"/>
            </w:tcBorders>
          </w:tcPr>
          <w:p>
            <w:pPr>
              <w:spacing w:before="40" w:after="40"/>
              <w:jc w:val="center"/>
            </w:pPr>
            <w:r>
              <w:rPr>
                <w:rFonts w:ascii="Cambria Math" w:hAnsi="Cambria Math"/>
                <w:b/>
                <w:color w:val="14325A"/>
                <w:sz w:val="21"/>
              </w:rPr>
              <w:t>R(s, a) = - [ α · Distance(s,a) + β · TravelTime(s,a) + γ · DelayPenalty(s,a) ] + δ · SuccessfulDeliveries(s,a)</w:t>
            </w:r>
          </w:p>
        </w:tc>
      </w:tr>
    </w:tbl>
    <w:p>
      <w:pPr>
        <w:spacing w:before="0" w:after="80" w:line="276" w:lineRule="auto"/>
        <w:jc w:val="both"/>
      </w:pPr>
      <w:r>
        <w:rPr>
          <w:rFonts w:ascii="Calibri" w:hAnsi="Calibri"/>
          <w:color w:val="282828"/>
          <w:sz w:val="21"/>
        </w:rPr>
        <w:t>where α, β, γ, δ represent non-negative weighting hyper-parameters adjusted based on fleet operational priorities.</w:t>
      </w:r>
    </w:p>
    <w:p>
      <w:pPr>
        <w:pStyle w:val="ListBullet"/>
        <w:spacing w:before="0" w:after="60" w:line="276" w:lineRule="auto"/>
        <w:ind w:left="360"/>
      </w:pPr>
      <w:r>
        <w:rPr>
          <w:rFonts w:ascii="Calibri" w:hAnsi="Calibri"/>
          <w:b/>
          <w:color w:val="1E1E1E"/>
          <w:sz w:val="21"/>
        </w:rPr>
        <w:t xml:space="preserve">Policy (π): </w:t>
      </w:r>
      <w:r>
        <w:rPr>
          <w:rFonts w:ascii="Calibri" w:hAnsi="Calibri"/>
          <w:color w:val="282828"/>
          <w:sz w:val="21"/>
        </w:rPr>
        <w:t>A parameterized policy mapping current state representations to action probabilities π(a|s), guiding the vehicle along the path that maximizes lifetime cumulative discounted return G_t = Σ γ^k R_{t+k+1}.</w:t>
      </w:r>
    </w:p>
    <w:p>
      <w:pPr>
        <w:keepNext/>
        <w:spacing w:before="160" w:after="80"/>
      </w:pPr>
      <w:r>
        <w:rPr>
          <w:rFonts w:ascii="Calibri" w:hAnsi="Calibri"/>
          <w:b/>
          <w:color w:val="28508C"/>
          <w:sz w:val="22"/>
        </w:rPr>
        <w:t>3. Continuous Learning &amp; Efficiency Gains</w:t>
      </w:r>
    </w:p>
    <w:p>
      <w:pPr>
        <w:spacing w:before="0" w:after="80" w:line="276" w:lineRule="auto"/>
        <w:jc w:val="both"/>
      </w:pPr>
      <w:r>
        <w:rPr>
          <w:rFonts w:ascii="Calibri" w:hAnsi="Calibri"/>
          <w:color w:val="282828"/>
          <w:sz w:val="21"/>
        </w:rPr>
        <w:t>Using Temporal-Difference (TD) algorithms such as Deep Q-Networks (DQN) or Proximal Policy Optimization (PPO), the logistics agent updates its value estimates V(s) continuously based on real-world delivery logs. Over long horizons, the system implicitly learns urban traffic micro-patterns—such as temporary congestion near school districts during specific afternoon hours. This results in reduced fuel consumption, minimized SLA violation penalties, lower fleet operating expenditures, and improved driver efficiency.</w:t>
      </w:r>
    </w:p>
    <w:p>
      <w:pPr>
        <w:keepNext/>
        <w:spacing w:before="320" w:after="120"/>
      </w:pPr>
      <w:r>
        <w:rPr>
          <w:rFonts w:ascii="Calibri" w:hAnsi="Calibri"/>
          <w:b/>
          <w:color w:val="1B365D"/>
          <w:sz w:val="24"/>
        </w:rPr>
        <w:t>QUESTION 2: FINTECH FRAUD DETECTION SYSTEM</w:t>
      </w:r>
      <w:r>
        <w:rPr>
          <w:rFonts w:ascii="Calibri" w:hAnsi="Calibri"/>
          <w:b/>
          <w:color w:val="B45014"/>
          <w:sz w:val="20"/>
        </w:rPr>
        <w:t xml:space="preserve">  [5 Marks]</w:t>
      </w:r>
    </w:p>
    <w:p>
      <w:pPr>
        <w:keepNext/>
        <w:spacing w:before="160" w:after="80"/>
      </w:pPr>
      <w:r>
        <w:rPr>
          <w:rFonts w:ascii="Calibri" w:hAnsi="Calibri"/>
          <w:b/>
          <w:color w:val="28508C"/>
          <w:sz w:val="22"/>
        </w:rPr>
        <w:t>1. Background &amp; Structural Challenge</w:t>
      </w:r>
    </w:p>
    <w:p>
      <w:pPr>
        <w:spacing w:before="0" w:after="80" w:line="276" w:lineRule="auto"/>
        <w:jc w:val="both"/>
      </w:pPr>
      <w:r>
        <w:rPr>
          <w:rFonts w:ascii="Calibri" w:hAnsi="Calibri"/>
          <w:color w:val="282828"/>
          <w:sz w:val="21"/>
        </w:rPr>
        <w:t>Fintech platforms must evaluate millions of transaction events per second, deciding whether to settle, flag, or decline payments. Static rule-based engines (e.g., flagging transactions &gt; $5,000) are brittle and vulnerable to evolving adversarial fraud techniques. Reinforcement Learning formulates fraud detection as an active sequential classification task that balances immediate fraud risk against user friction and operational cost.</w:t>
      </w:r>
    </w:p>
    <w:p>
      <w:pPr>
        <w:keepNext/>
        <w:spacing w:before="160" w:after="80"/>
      </w:pPr>
      <w:r>
        <w:rPr>
          <w:rFonts w:ascii="Calibri" w:hAnsi="Calibri"/>
          <w:b/>
          <w:color w:val="28508C"/>
          <w:sz w:val="22"/>
        </w:rPr>
        <w:t>2. Comprehensive MDP Formulation</w:t>
      </w:r>
    </w:p>
    <w:p>
      <w:pPr>
        <w:pStyle w:val="ListBullet"/>
        <w:spacing w:before="0" w:after="60" w:line="276" w:lineRule="auto"/>
        <w:ind w:left="360"/>
      </w:pPr>
      <w:r>
        <w:rPr>
          <w:rFonts w:ascii="Calibri" w:hAnsi="Calibri"/>
          <w:b/>
          <w:color w:val="1E1E1E"/>
          <w:sz w:val="21"/>
        </w:rPr>
        <w:t xml:space="preserve">State Space (S) — Transaction Data: </w:t>
      </w:r>
      <w:r>
        <w:rPr>
          <w:rFonts w:ascii="Calibri" w:hAnsi="Calibri"/>
          <w:color w:val="282828"/>
          <w:sz w:val="21"/>
        </w:rPr>
        <w:t>Transaction value, currency, merchant category code (MCC), time-of-day timestamp.</w:t>
      </w:r>
    </w:p>
    <w:p>
      <w:pPr>
        <w:pStyle w:val="ListBullet"/>
        <w:spacing w:before="0" w:after="60" w:line="276" w:lineRule="auto"/>
        <w:ind w:left="360"/>
      </w:pPr>
      <w:r>
        <w:rPr>
          <w:rFonts w:ascii="Calibri" w:hAnsi="Calibri"/>
          <w:b/>
          <w:color w:val="1E1E1E"/>
          <w:sz w:val="21"/>
        </w:rPr>
        <w:t xml:space="preserve">State Space (S) — User Profile: </w:t>
      </w:r>
      <w:r>
        <w:rPr>
          <w:rFonts w:ascii="Calibri" w:hAnsi="Calibri"/>
          <w:color w:val="282828"/>
          <w:sz w:val="21"/>
        </w:rPr>
        <w:t>Historical account spending velocity, average transaction magnitude, primary geographical usage baseline.</w:t>
      </w:r>
    </w:p>
    <w:p>
      <w:pPr>
        <w:pStyle w:val="ListBullet"/>
        <w:spacing w:before="0" w:after="60" w:line="276" w:lineRule="auto"/>
        <w:ind w:left="360"/>
      </w:pPr>
      <w:r>
        <w:rPr>
          <w:rFonts w:ascii="Calibri" w:hAnsi="Calibri"/>
          <w:b/>
          <w:color w:val="1E1E1E"/>
          <w:sz w:val="21"/>
        </w:rPr>
        <w:t xml:space="preserve">State Space (S) — Contextual Meta: </w:t>
      </w:r>
      <w:r>
        <w:rPr>
          <w:rFonts w:ascii="Calibri" w:hAnsi="Calibri"/>
          <w:color w:val="282828"/>
          <w:sz w:val="21"/>
        </w:rPr>
        <w:t>Device hardware fingerprint, IP geolocation differential, network proxy indicators, behavioral biometrics (swipe speed, typing dynamics).</w:t>
      </w:r>
    </w:p>
    <w:p>
      <w:pPr>
        <w:pStyle w:val="ListBullet"/>
        <w:spacing w:before="0" w:after="60" w:line="276" w:lineRule="auto"/>
        <w:ind w:left="360"/>
      </w:pPr>
      <w:r>
        <w:rPr>
          <w:rFonts w:ascii="Calibri" w:hAnsi="Calibri"/>
          <w:b/>
          <w:color w:val="1E1E1E"/>
          <w:sz w:val="21"/>
        </w:rPr>
        <w:t xml:space="preserve">Action Space (A): </w:t>
      </w:r>
      <w:r>
        <w:rPr>
          <w:rFonts w:ascii="Calibri" w:hAnsi="Calibri"/>
          <w:color w:val="282828"/>
          <w:sz w:val="21"/>
        </w:rPr>
        <w:t>a0: Direct Approve (Settle transaction instantly).</w:t>
      </w:r>
    </w:p>
    <w:p>
      <w:pPr>
        <w:pStyle w:val="ListBullet"/>
        <w:spacing w:before="0" w:after="60" w:line="276" w:lineRule="auto"/>
        <w:ind w:left="360"/>
      </w:pPr>
      <w:r>
        <w:rPr>
          <w:rFonts w:ascii="Calibri" w:hAnsi="Calibri"/>
          <w:b/>
          <w:color w:val="1E1E1E"/>
          <w:sz w:val="21"/>
        </w:rPr>
        <w:t xml:space="preserve">Action Space (A): </w:t>
      </w:r>
      <w:r>
        <w:rPr>
          <w:rFonts w:ascii="Calibri" w:hAnsi="Calibri"/>
          <w:color w:val="282828"/>
          <w:sz w:val="21"/>
        </w:rPr>
        <w:t>a1: Direct Decline (Block transaction immediately).</w:t>
      </w:r>
    </w:p>
    <w:p>
      <w:pPr>
        <w:pStyle w:val="ListBullet"/>
        <w:spacing w:before="0" w:after="60" w:line="276" w:lineRule="auto"/>
        <w:ind w:left="360"/>
      </w:pPr>
      <w:r>
        <w:rPr>
          <w:rFonts w:ascii="Calibri" w:hAnsi="Calibri"/>
          <w:b/>
          <w:color w:val="1E1E1E"/>
          <w:sz w:val="21"/>
        </w:rPr>
        <w:t xml:space="preserve">Action Space (A): </w:t>
      </w:r>
      <w:r>
        <w:rPr>
          <w:rFonts w:ascii="Calibri" w:hAnsi="Calibri"/>
          <w:color w:val="282828"/>
          <w:sz w:val="21"/>
        </w:rPr>
        <w:t>a2: Trigger Step-Up Verification (Initiate Multi-Factor Authentication / OTP / Biometrics).</w:t>
      </w:r>
    </w:p>
    <w:p>
      <w:pPr>
        <w:keepNext/>
        <w:spacing w:before="160" w:after="80"/>
      </w:pPr>
      <w:r>
        <w:rPr>
          <w:rFonts w:ascii="Calibri" w:hAnsi="Calibri"/>
          <w:b/>
          <w:color w:val="28508C"/>
          <w:sz w:val="22"/>
        </w:rPr>
        <w:t>3. Reward Structure Matrix</w:t>
      </w:r>
    </w:p>
    <w:p>
      <w:pPr>
        <w:spacing w:before="0" w:after="80" w:line="276" w:lineRule="auto"/>
        <w:jc w:val="both"/>
      </w:pPr>
      <w:r>
        <w:rPr>
          <w:rFonts w:ascii="Calibri" w:hAnsi="Calibri"/>
          <w:color w:val="282828"/>
          <w:sz w:val="21"/>
        </w:rPr>
        <w:t>The reward mechanism incorporates explicit asymmetric business costs:</w:t>
      </w:r>
    </w:p>
    <w:p>
      <w:pPr>
        <w:pStyle w:val="ListBullet"/>
        <w:spacing w:before="0" w:after="60" w:line="276" w:lineRule="auto"/>
        <w:ind w:left="360"/>
      </w:pPr>
      <w:r>
        <w:rPr>
          <w:rFonts w:ascii="Calibri" w:hAnsi="Calibri"/>
          <w:b/>
          <w:color w:val="1E1E1E"/>
          <w:sz w:val="21"/>
        </w:rPr>
        <w:t xml:space="preserve">Approve Legitimate Transaction: </w:t>
      </w:r>
      <w:r>
        <w:rPr>
          <w:rFonts w:ascii="Calibri" w:hAnsi="Calibri"/>
          <w:color w:val="282828"/>
          <w:sz w:val="21"/>
        </w:rPr>
        <w:t>+10.0 (Reward for standard seamless processing).</w:t>
      </w:r>
    </w:p>
    <w:p>
      <w:pPr>
        <w:pStyle w:val="ListBullet"/>
        <w:spacing w:before="0" w:after="60" w:line="276" w:lineRule="auto"/>
        <w:ind w:left="360"/>
      </w:pPr>
      <w:r>
        <w:rPr>
          <w:rFonts w:ascii="Calibri" w:hAnsi="Calibri"/>
          <w:b/>
          <w:color w:val="1E1E1E"/>
          <w:sz w:val="21"/>
        </w:rPr>
        <w:t xml:space="preserve">Decline Fraudulent Transaction: </w:t>
      </w:r>
      <w:r>
        <w:rPr>
          <w:rFonts w:ascii="Calibri" w:hAnsi="Calibri"/>
          <w:color w:val="282828"/>
          <w:sz w:val="21"/>
        </w:rPr>
        <w:t>+50.0 (Reward for preventing capital theft).</w:t>
      </w:r>
    </w:p>
    <w:p>
      <w:pPr>
        <w:pStyle w:val="ListBullet"/>
        <w:spacing w:before="0" w:after="60" w:line="276" w:lineRule="auto"/>
        <w:ind w:left="360"/>
      </w:pPr>
      <w:r>
        <w:rPr>
          <w:rFonts w:ascii="Calibri" w:hAnsi="Calibri"/>
          <w:b/>
          <w:color w:val="1E1E1E"/>
          <w:sz w:val="21"/>
        </w:rPr>
        <w:t xml:space="preserve">False Positive (Decline Legitimate): </w:t>
      </w:r>
      <w:r>
        <w:rPr>
          <w:rFonts w:ascii="Calibri" w:hAnsi="Calibri"/>
          <w:color w:val="282828"/>
          <w:sz w:val="21"/>
        </w:rPr>
        <w:t>-30.0 (Heavy penalty for user friction and customer churn).</w:t>
      </w:r>
    </w:p>
    <w:p>
      <w:pPr>
        <w:pStyle w:val="ListBullet"/>
        <w:spacing w:before="0" w:after="60" w:line="276" w:lineRule="auto"/>
        <w:ind w:left="360"/>
      </w:pPr>
      <w:r>
        <w:rPr>
          <w:rFonts w:ascii="Calibri" w:hAnsi="Calibri"/>
          <w:b/>
          <w:color w:val="1E1E1E"/>
          <w:sz w:val="21"/>
        </w:rPr>
        <w:t xml:space="preserve">False Negative (Approve Fraud): </w:t>
      </w:r>
      <w:r>
        <w:rPr>
          <w:rFonts w:ascii="Calibri" w:hAnsi="Calibri"/>
          <w:color w:val="282828"/>
          <w:sz w:val="21"/>
        </w:rPr>
        <w:t>- (100 + Transaction Value) (Severe financial loss penalty).</w:t>
      </w:r>
    </w:p>
    <w:p>
      <w:pPr>
        <w:pStyle w:val="ListBullet"/>
        <w:spacing w:before="0" w:after="60" w:line="276" w:lineRule="auto"/>
        <w:ind w:left="360"/>
      </w:pPr>
      <w:r>
        <w:rPr>
          <w:rFonts w:ascii="Calibri" w:hAnsi="Calibri"/>
          <w:b/>
          <w:color w:val="1E1E1E"/>
          <w:sz w:val="21"/>
        </w:rPr>
        <w:t xml:space="preserve">Trigger Step-Up MFA: </w:t>
      </w:r>
      <w:r>
        <w:rPr>
          <w:rFonts w:ascii="Calibri" w:hAnsi="Calibri"/>
          <w:color w:val="282828"/>
          <w:sz w:val="21"/>
        </w:rPr>
        <w:t>-1.0 (Minor operational friction penalty).</w:t>
      </w:r>
    </w:p>
    <w:p>
      <w:pPr>
        <w:keepNext/>
        <w:spacing w:before="160" w:after="80"/>
      </w:pPr>
      <w:r>
        <w:rPr>
          <w:rFonts w:ascii="Calibri" w:hAnsi="Calibri"/>
          <w:b/>
          <w:color w:val="28508C"/>
          <w:sz w:val="22"/>
        </w:rPr>
        <w:t>4. Role of Exploration Strategies</w:t>
      </w:r>
    </w:p>
    <w:p>
      <w:pPr>
        <w:spacing w:before="0" w:after="80" w:line="276" w:lineRule="auto"/>
        <w:jc w:val="both"/>
      </w:pPr>
      <w:r>
        <w:rPr>
          <w:rFonts w:ascii="Calibri" w:hAnsi="Calibri"/>
          <w:color w:val="282828"/>
          <w:sz w:val="21"/>
        </w:rPr>
        <w:t>Fraudsters continuously adapt their strategies to probe fraud engine detection boundaries. If the system only exploits existing learned rules, novel attack strategies bypass protection. By employing ε-greedy, Upper Confidence Bound (UCB), or Boltzmann exploration mechanisms, the RL model actively probes uncertain decision boundaries on borderline transactions. This enables early discovery of emerging fraud patterns, continuously updating detection thresholds and maintaining high precision.</w:t>
      </w:r>
    </w:p>
    <w:p>
      <w:pPr>
        <w:keepNext/>
        <w:spacing w:before="320" w:after="120"/>
      </w:pPr>
      <w:r>
        <w:rPr>
          <w:rFonts w:ascii="Calibri" w:hAnsi="Calibri"/>
          <w:b/>
          <w:color w:val="1B365D"/>
          <w:sz w:val="24"/>
        </w:rPr>
        <w:t>QUESTION 3: STREAMING PLATFORM CONTENT RECOMMENDATION</w:t>
      </w:r>
      <w:r>
        <w:rPr>
          <w:rFonts w:ascii="Calibri" w:hAnsi="Calibri"/>
          <w:b/>
          <w:color w:val="B45014"/>
          <w:sz w:val="20"/>
        </w:rPr>
        <w:t xml:space="preserve">  [5 Marks]</w:t>
      </w:r>
    </w:p>
    <w:p>
      <w:pPr>
        <w:keepNext/>
        <w:spacing w:before="160" w:after="80"/>
      </w:pPr>
      <w:r>
        <w:rPr>
          <w:rFonts w:ascii="Calibri" w:hAnsi="Calibri"/>
          <w:b/>
          <w:color w:val="28508C"/>
          <w:sz w:val="22"/>
        </w:rPr>
        <w:t>1. Objective &amp; Non-Stationary User Preferences</w:t>
      </w:r>
    </w:p>
    <w:p>
      <w:pPr>
        <w:spacing w:before="0" w:after="80" w:line="276" w:lineRule="auto"/>
        <w:jc w:val="both"/>
      </w:pPr>
      <w:r>
        <w:rPr>
          <w:rFonts w:ascii="Calibri" w:hAnsi="Calibri"/>
          <w:color w:val="282828"/>
          <w:sz w:val="21"/>
        </w:rPr>
        <w:t>Media streaming platforms (e.g., video, audio) strive to maximize long-term subscriber engagement and retention rather than short-term click-through rate (CTR). Static matrix factorization models struggle because user interest is inherently non-stationary—shifting dynamically based on mood, time of day, recent viewing history, and trending cultural events.</w:t>
      </w:r>
    </w:p>
    <w:p>
      <w:pPr>
        <w:keepNext/>
        <w:spacing w:before="160" w:after="80"/>
      </w:pPr>
      <w:r>
        <w:rPr>
          <w:rFonts w:ascii="Calibri" w:hAnsi="Calibri"/>
          <w:b/>
          <w:color w:val="28508C"/>
          <w:sz w:val="22"/>
        </w:rPr>
        <w:t>2. MDP Formulation</w:t>
      </w:r>
    </w:p>
    <w:p>
      <w:pPr>
        <w:pStyle w:val="ListBullet"/>
        <w:spacing w:before="0" w:after="60" w:line="276" w:lineRule="auto"/>
        <w:ind w:left="360"/>
      </w:pPr>
      <w:r>
        <w:rPr>
          <w:rFonts w:ascii="Calibri" w:hAnsi="Calibri"/>
          <w:b/>
          <w:color w:val="1E1E1E"/>
          <w:sz w:val="21"/>
        </w:rPr>
        <w:t xml:space="preserve">State Space (S): </w:t>
      </w:r>
      <w:r>
        <w:rPr>
          <w:rFonts w:ascii="Calibri" w:hAnsi="Calibri"/>
          <w:color w:val="282828"/>
          <w:sz w:val="21"/>
        </w:rPr>
        <w:t>Dynamic latent vector embedding combining short-term interactions (last 5 viewed items), long-term genre preferences, session duration, current time/day, device type, and UI placement context.</w:t>
      </w:r>
    </w:p>
    <w:p>
      <w:pPr>
        <w:pStyle w:val="ListBullet"/>
        <w:spacing w:before="0" w:after="60" w:line="276" w:lineRule="auto"/>
        <w:ind w:left="360"/>
      </w:pPr>
      <w:r>
        <w:rPr>
          <w:rFonts w:ascii="Calibri" w:hAnsi="Calibri"/>
          <w:b/>
          <w:color w:val="1E1E1E"/>
          <w:sz w:val="21"/>
        </w:rPr>
        <w:t xml:space="preserve">Action Space (A): </w:t>
      </w:r>
      <w:r>
        <w:rPr>
          <w:rFonts w:ascii="Calibri" w:hAnsi="Calibri"/>
          <w:color w:val="282828"/>
          <w:sz w:val="21"/>
        </w:rPr>
        <w:t>Generating a structured list/slate of recommendation media items mapped into a continuous representation space.</w:t>
      </w:r>
    </w:p>
    <w:p>
      <w:pPr>
        <w:spacing w:before="0" w:after="80" w:line="276" w:lineRule="auto"/>
        <w:jc w:val="both"/>
      </w:pPr>
      <w:r>
        <w:rPr>
          <w:rFonts w:ascii="Calibri" w:hAnsi="Calibri"/>
          <w:color w:val="282828"/>
          <w:sz w:val="21"/>
        </w:rPr>
        <w:t>The immediate feedback reward signal is modeled as:</w:t>
      </w:r>
    </w:p>
    <w:tbl>
      <w:tblPr>
        <w:tblW w:type="auto" w:w="0"/>
        <w:jc w:val="center"/>
        <w:tblLook w:firstColumn="1" w:firstRow="1" w:lastColumn="0" w:lastRow="0" w:noHBand="0" w:noVBand="1" w:val="04A0"/>
      </w:tblPr>
      <w:tblGrid>
        <w:gridCol w:w="9360"/>
      </w:tblGrid>
      <w:tr>
        <w:tc>
          <w:tcPr>
            <w:tcW w:type="dxa" w:w="9360"/>
            <w:shd w:fill="F7F9FA"/>
            <w:tcMar>
              <w:top w:w="80" w:type="dxa"/>
              <w:bottom w:w="80" w:type="dxa"/>
              <w:left w:w="150" w:type="dxa"/>
              <w:right w:w="150" w:type="dxa"/>
            </w:tcMar>
            <w:tcBorders>
              <w:left w:val="single" w:sz="24" w:space="0" w:color="1B365D"/>
              <w:top w:val="none"/>
              <w:right w:val="none"/>
              <w:bottom w:val="none"/>
            </w:tcBorders>
          </w:tcPr>
          <w:p>
            <w:pPr>
              <w:spacing w:before="40" w:after="40"/>
              <w:jc w:val="center"/>
            </w:pPr>
            <w:r>
              <w:rPr>
                <w:rFonts w:ascii="Cambria Math" w:hAnsi="Cambria Math"/>
                <w:b/>
                <w:color w:val="14325A"/>
                <w:sz w:val="21"/>
              </w:rPr>
              <w:t>R_t = w_click · Click + w_watch · (WatchDuration / ItemLength) + w_like · Like - w_skip · EarlySkip</w:t>
            </w:r>
          </w:p>
        </w:tc>
      </w:tr>
    </w:tbl>
    <w:p>
      <w:pPr>
        <w:keepNext/>
        <w:spacing w:before="160" w:after="80"/>
      </w:pPr>
      <w:r>
        <w:rPr>
          <w:rFonts w:ascii="Calibri" w:hAnsi="Calibri"/>
          <w:b/>
          <w:color w:val="28508C"/>
          <w:sz w:val="22"/>
        </w:rPr>
        <w:t>3. Delayed Rewards &amp; Delayed Feedback Mechanics</w:t>
      </w:r>
    </w:p>
    <w:p>
      <w:pPr>
        <w:spacing w:before="0" w:after="80" w:line="276" w:lineRule="auto"/>
        <w:jc w:val="both"/>
      </w:pPr>
      <w:r>
        <w:rPr>
          <w:rFonts w:ascii="Calibri" w:hAnsi="Calibri"/>
          <w:color w:val="282828"/>
          <w:sz w:val="21"/>
        </w:rPr>
        <w:t>A critical challenge in recommendation systems is delayed feedback: a user's ultimate satisfaction or decision to renew a monthly subscription cannot be observed at the moment an item is recommended. Standard contextual bandits focus only on immediate clicks, often resulting in clickbait over-recommendation. RL utilizes discounted cumulative returns G_t = Σ γ^k R_{t+k+1} with a high discount factor (γ ≈ 0.99) to evaluate how current recommendation slates influence long-term session length, platform loyalty, and subscription renewal likelihood.</w:t>
      </w:r>
    </w:p>
    <w:p>
      <w:pPr>
        <w:keepNext/>
        <w:spacing w:before="320" w:after="120"/>
      </w:pPr>
      <w:r>
        <w:rPr>
          <w:rFonts w:ascii="Calibri" w:hAnsi="Calibri"/>
          <w:b/>
          <w:color w:val="1B365D"/>
          <w:sz w:val="24"/>
        </w:rPr>
        <w:t>QUESTION 4: PREDICTIVE MAINTENANCE IN INDUSTRIAL IOT</w:t>
      </w:r>
      <w:r>
        <w:rPr>
          <w:rFonts w:ascii="Calibri" w:hAnsi="Calibri"/>
          <w:b/>
          <w:color w:val="B45014"/>
          <w:sz w:val="20"/>
        </w:rPr>
        <w:t xml:space="preserve">  [5 Marks]</w:t>
      </w:r>
    </w:p>
    <w:p>
      <w:pPr>
        <w:keepNext/>
        <w:spacing w:before="160" w:after="80"/>
      </w:pPr>
      <w:r>
        <w:rPr>
          <w:rFonts w:ascii="Calibri" w:hAnsi="Calibri"/>
          <w:b/>
          <w:color w:val="28508C"/>
          <w:sz w:val="22"/>
        </w:rPr>
        <w:t>1. Industrial Shift from Rule-Based to Adaptive RL</w:t>
      </w:r>
    </w:p>
    <w:p>
      <w:pPr>
        <w:spacing w:before="0" w:after="80" w:line="276" w:lineRule="auto"/>
        <w:jc w:val="both"/>
      </w:pPr>
      <w:r>
        <w:rPr>
          <w:rFonts w:ascii="Calibri" w:hAnsi="Calibri"/>
          <w:color w:val="282828"/>
          <w:sz w:val="21"/>
        </w:rPr>
        <w:t>Industrial plants rely on continuous equipment availability. Traditional maintenance relies either on run-to-failure or static preventative schedules based on operational hours (e.g., replacing turbine bearings every 1,000 hours). These approaches cause either catastrophic failures or premature component replacement costs. RL combines multi-sensor IoT telemetry to optimize maintenance schedules based on real-time degradation.</w:t>
      </w:r>
    </w:p>
    <w:p>
      <w:pPr>
        <w:keepNext/>
        <w:spacing w:before="160" w:after="80"/>
      </w:pPr>
      <w:r>
        <w:rPr>
          <w:rFonts w:ascii="Calibri" w:hAnsi="Calibri"/>
          <w:b/>
          <w:color w:val="28508C"/>
          <w:sz w:val="22"/>
        </w:rPr>
        <w:t>2. Comparative Evaluation Matrix</w:t>
      </w:r>
    </w:p>
    <w:tbl>
      <w:tblPr>
        <w:tblW w:type="auto" w:w="0"/>
        <w:jc w:val="center"/>
        <w:tblLook w:firstColumn="1" w:firstRow="1" w:lastColumn="0" w:lastRow="0" w:noHBand="0" w:noVBand="1" w:val="04A0"/>
      </w:tblPr>
      <w:tblGrid>
        <w:gridCol w:w="3120"/>
        <w:gridCol w:w="3120"/>
        <w:gridCol w:w="3120"/>
      </w:tblGrid>
      <w:tr>
        <w:tc>
          <w:tcPr>
            <w:tcW w:type="dxa" w:w="3120"/>
            <w:shd w:fill="1B365D"/>
          </w:tcPr>
          <w:p>
            <w:pPr>
              <w:jc w:val="center"/>
            </w:pPr>
            <w:r>
              <w:rPr>
                <w:rFonts w:ascii="Calibri" w:hAnsi="Calibri"/>
                <w:b/>
                <w:color w:val="FFFFFF"/>
                <w:sz w:val="20"/>
              </w:rPr>
              <w:t>Feature / Dimension</w:t>
            </w:r>
          </w:p>
        </w:tc>
        <w:tc>
          <w:tcPr>
            <w:tcW w:type="dxa" w:w="3120"/>
            <w:shd w:fill="1B365D"/>
          </w:tcPr>
          <w:p>
            <w:pPr>
              <w:jc w:val="center"/>
            </w:pPr>
            <w:r>
              <w:rPr>
                <w:rFonts w:ascii="Calibri" w:hAnsi="Calibri"/>
                <w:b/>
                <w:color w:val="FFFFFF"/>
                <w:sz w:val="20"/>
              </w:rPr>
              <w:t>Traditional Rule-Based Systems</w:t>
            </w:r>
          </w:p>
        </w:tc>
        <w:tc>
          <w:tcPr>
            <w:tcW w:type="dxa" w:w="3120"/>
            <w:shd w:fill="1B365D"/>
          </w:tcPr>
          <w:p>
            <w:pPr>
              <w:jc w:val="center"/>
            </w:pPr>
            <w:r>
              <w:rPr>
                <w:rFonts w:ascii="Calibri" w:hAnsi="Calibri"/>
                <w:b/>
                <w:color w:val="FFFFFF"/>
                <w:sz w:val="20"/>
              </w:rPr>
              <w:t>Reinforcement Learning Framework</w:t>
            </w:r>
          </w:p>
        </w:tc>
      </w:tr>
      <w:tr>
        <w:tc>
          <w:tcPr>
            <w:tcW w:type="dxa" w:w="3120"/>
            <w:shd w:fill="F0F4F8"/>
            <w:tcMar>
              <w:top w:w="80" w:type="dxa"/>
              <w:bottom w:w="80" w:type="dxa"/>
              <w:left w:w="100" w:type="dxa"/>
              <w:right w:w="100" w:type="dxa"/>
            </w:tcMar>
          </w:tcPr>
          <w:p>
            <w:pPr>
              <w:spacing w:after="0" w:before="0"/>
            </w:pPr>
            <w:r>
              <w:rPr>
                <w:rFonts w:ascii="Calibri" w:hAnsi="Calibri"/>
                <w:color w:val="282828"/>
                <w:sz w:val="19"/>
              </w:rPr>
              <w:t>Decision Logic</w:t>
            </w:r>
          </w:p>
        </w:tc>
        <w:tc>
          <w:tcPr>
            <w:tcW w:type="dxa" w:w="3120"/>
            <w:shd w:fill="F0F4F8"/>
            <w:tcMar>
              <w:top w:w="80" w:type="dxa"/>
              <w:bottom w:w="80" w:type="dxa"/>
              <w:left w:w="100" w:type="dxa"/>
              <w:right w:w="100" w:type="dxa"/>
            </w:tcMar>
          </w:tcPr>
          <w:p>
            <w:pPr>
              <w:spacing w:after="0" w:before="0"/>
            </w:pPr>
            <w:r>
              <w:rPr>
                <w:rFonts w:ascii="Calibri" w:hAnsi="Calibri"/>
                <w:color w:val="282828"/>
                <w:sz w:val="19"/>
              </w:rPr>
              <w:t>If Sensor &gt; Threshold THEN Alarm</w:t>
            </w:r>
          </w:p>
        </w:tc>
        <w:tc>
          <w:tcPr>
            <w:tcW w:type="dxa" w:w="3120"/>
            <w:shd w:fill="F0F4F8"/>
            <w:tcMar>
              <w:top w:w="80" w:type="dxa"/>
              <w:bottom w:w="80" w:type="dxa"/>
              <w:left w:w="100" w:type="dxa"/>
              <w:right w:w="100" w:type="dxa"/>
            </w:tcMar>
          </w:tcPr>
          <w:p>
            <w:pPr>
              <w:spacing w:after="0" w:before="0"/>
            </w:pPr>
            <w:r>
              <w:rPr>
                <w:rFonts w:ascii="Calibri" w:hAnsi="Calibri"/>
                <w:color w:val="282828"/>
                <w:sz w:val="19"/>
              </w:rPr>
              <w:t>Optimal control policy π(a|s) over continuous state space</w:t>
            </w:r>
          </w:p>
        </w:tc>
      </w:tr>
      <w:tr>
        <w:tc>
          <w:tcPr>
            <w:tcW w:type="dxa" w:w="3120"/>
            <w:shd w:fill="FFFFFF"/>
            <w:tcMar>
              <w:top w:w="80" w:type="dxa"/>
              <w:bottom w:w="80" w:type="dxa"/>
              <w:left w:w="100" w:type="dxa"/>
              <w:right w:w="100" w:type="dxa"/>
            </w:tcMar>
          </w:tcPr>
          <w:p>
            <w:pPr>
              <w:spacing w:after="0" w:before="0"/>
            </w:pPr>
            <w:r>
              <w:rPr>
                <w:rFonts w:ascii="Calibri" w:hAnsi="Calibri"/>
                <w:color w:val="282828"/>
                <w:sz w:val="19"/>
              </w:rPr>
              <w:t>Adaptability</w:t>
            </w:r>
          </w:p>
        </w:tc>
        <w:tc>
          <w:tcPr>
            <w:tcW w:type="dxa" w:w="3120"/>
            <w:shd w:fill="FFFFFF"/>
            <w:tcMar>
              <w:top w:w="80" w:type="dxa"/>
              <w:bottom w:w="80" w:type="dxa"/>
              <w:left w:w="100" w:type="dxa"/>
              <w:right w:w="100" w:type="dxa"/>
            </w:tcMar>
          </w:tcPr>
          <w:p>
            <w:pPr>
              <w:spacing w:after="0" w:before="0"/>
            </w:pPr>
            <w:r>
              <w:rPr>
                <w:rFonts w:ascii="Calibri" w:hAnsi="Calibri"/>
                <w:color w:val="282828"/>
                <w:sz w:val="19"/>
              </w:rPr>
              <w:t>Rigid; requires human recalibration for wear</w:t>
            </w:r>
          </w:p>
        </w:tc>
        <w:tc>
          <w:tcPr>
            <w:tcW w:type="dxa" w:w="3120"/>
            <w:shd w:fill="FFFFFF"/>
            <w:tcMar>
              <w:top w:w="80" w:type="dxa"/>
              <w:bottom w:w="80" w:type="dxa"/>
              <w:left w:w="100" w:type="dxa"/>
              <w:right w:w="100" w:type="dxa"/>
            </w:tcMar>
          </w:tcPr>
          <w:p>
            <w:pPr>
              <w:spacing w:after="0" w:before="0"/>
            </w:pPr>
            <w:r>
              <w:rPr>
                <w:rFonts w:ascii="Calibri" w:hAnsi="Calibri"/>
                <w:color w:val="282828"/>
                <w:sz w:val="19"/>
              </w:rPr>
              <w:t>Self-learning; adapts to component aging dynamically</w:t>
            </w:r>
          </w:p>
        </w:tc>
      </w:tr>
      <w:tr>
        <w:tc>
          <w:tcPr>
            <w:tcW w:type="dxa" w:w="3120"/>
            <w:shd w:fill="F0F4F8"/>
            <w:tcMar>
              <w:top w:w="80" w:type="dxa"/>
              <w:bottom w:w="80" w:type="dxa"/>
              <w:left w:w="100" w:type="dxa"/>
              <w:right w:w="100" w:type="dxa"/>
            </w:tcMar>
          </w:tcPr>
          <w:p>
            <w:pPr>
              <w:spacing w:after="0" w:before="0"/>
            </w:pPr>
            <w:r>
              <w:rPr>
                <w:rFonts w:ascii="Calibri" w:hAnsi="Calibri"/>
                <w:color w:val="282828"/>
                <w:sz w:val="19"/>
              </w:rPr>
              <w:t>Cost Optimization</w:t>
            </w:r>
          </w:p>
        </w:tc>
        <w:tc>
          <w:tcPr>
            <w:tcW w:type="dxa" w:w="3120"/>
            <w:shd w:fill="F0F4F8"/>
            <w:tcMar>
              <w:top w:w="80" w:type="dxa"/>
              <w:bottom w:w="80" w:type="dxa"/>
              <w:left w:w="100" w:type="dxa"/>
              <w:right w:w="100" w:type="dxa"/>
            </w:tcMar>
          </w:tcPr>
          <w:p>
            <w:pPr>
              <w:spacing w:after="0" w:before="0"/>
            </w:pPr>
            <w:r>
              <w:rPr>
                <w:rFonts w:ascii="Calibri" w:hAnsi="Calibri"/>
                <w:color w:val="282828"/>
                <w:sz w:val="19"/>
              </w:rPr>
              <w:t>High cost due to early swaps or sudden breaks</w:t>
            </w:r>
          </w:p>
        </w:tc>
        <w:tc>
          <w:tcPr>
            <w:tcW w:type="dxa" w:w="3120"/>
            <w:shd w:fill="F0F4F8"/>
            <w:tcMar>
              <w:top w:w="80" w:type="dxa"/>
              <w:bottom w:w="80" w:type="dxa"/>
              <w:left w:w="100" w:type="dxa"/>
              <w:right w:w="100" w:type="dxa"/>
            </w:tcMar>
          </w:tcPr>
          <w:p>
            <w:pPr>
              <w:spacing w:after="0" w:before="0"/>
            </w:pPr>
            <w:r>
              <w:rPr>
                <w:rFonts w:ascii="Calibri" w:hAnsi="Calibri"/>
                <w:color w:val="282828"/>
                <w:sz w:val="19"/>
              </w:rPr>
              <w:t>Minimizes cost by maximizing Remaining Useful Life (RUL)</w:t>
            </w:r>
          </w:p>
        </w:tc>
      </w:tr>
      <w:tr>
        <w:tc>
          <w:tcPr>
            <w:tcW w:type="dxa" w:w="3120"/>
            <w:shd w:fill="FFFFFF"/>
            <w:tcMar>
              <w:top w:w="80" w:type="dxa"/>
              <w:bottom w:w="80" w:type="dxa"/>
              <w:left w:w="100" w:type="dxa"/>
              <w:right w:w="100" w:type="dxa"/>
            </w:tcMar>
          </w:tcPr>
          <w:p>
            <w:pPr>
              <w:spacing w:after="0" w:before="0"/>
            </w:pPr>
            <w:r>
              <w:rPr>
                <w:rFonts w:ascii="Calibri" w:hAnsi="Calibri"/>
                <w:color w:val="282828"/>
                <w:sz w:val="19"/>
              </w:rPr>
              <w:t>Cross-Sensor Analytics</w:t>
            </w:r>
          </w:p>
        </w:tc>
        <w:tc>
          <w:tcPr>
            <w:tcW w:type="dxa" w:w="3120"/>
            <w:shd w:fill="FFFFFF"/>
            <w:tcMar>
              <w:top w:w="80" w:type="dxa"/>
              <w:bottom w:w="80" w:type="dxa"/>
              <w:left w:w="100" w:type="dxa"/>
              <w:right w:w="100" w:type="dxa"/>
            </w:tcMar>
          </w:tcPr>
          <w:p>
            <w:pPr>
              <w:spacing w:after="0" w:before="0"/>
            </w:pPr>
            <w:r>
              <w:rPr>
                <w:rFonts w:ascii="Calibri" w:hAnsi="Calibri"/>
                <w:color w:val="282828"/>
                <w:sz w:val="19"/>
              </w:rPr>
              <w:t>Poor correlation across multi-dimensional IoT</w:t>
            </w:r>
          </w:p>
        </w:tc>
        <w:tc>
          <w:tcPr>
            <w:tcW w:type="dxa" w:w="3120"/>
            <w:shd w:fill="FFFFFF"/>
            <w:tcMar>
              <w:top w:w="80" w:type="dxa"/>
              <w:bottom w:w="80" w:type="dxa"/>
              <w:left w:w="100" w:type="dxa"/>
              <w:right w:w="100" w:type="dxa"/>
            </w:tcMar>
          </w:tcPr>
          <w:p>
            <w:pPr>
              <w:spacing w:after="0" w:before="0"/>
            </w:pPr>
            <w:r>
              <w:rPr>
                <w:rFonts w:ascii="Calibri" w:hAnsi="Calibri"/>
                <w:color w:val="282828"/>
                <w:sz w:val="19"/>
              </w:rPr>
              <w:t>Processes non-linear multi-sensor inputs via deep networks</w:t>
            </w:r>
          </w:p>
        </w:tc>
      </w:tr>
    </w:tbl>
    <w:p>
      <w:pPr>
        <w:spacing w:after="80"/>
      </w:pPr>
    </w:p>
    <w:p>
      <w:pPr>
        <w:keepNext/>
        <w:spacing w:before="160" w:after="80"/>
      </w:pPr>
      <w:r>
        <w:rPr>
          <w:rFonts w:ascii="Calibri" w:hAnsi="Calibri"/>
          <w:b/>
          <w:color w:val="28508C"/>
          <w:sz w:val="22"/>
        </w:rPr>
        <w:t>3. Operational Risks &amp; Safe RL Deployment</w:t>
      </w:r>
    </w:p>
    <w:p>
      <w:pPr>
        <w:spacing w:before="0" w:after="80" w:line="276" w:lineRule="auto"/>
        <w:jc w:val="both"/>
      </w:pPr>
      <w:r>
        <w:rPr>
          <w:rFonts w:ascii="Calibri" w:hAnsi="Calibri"/>
          <w:color w:val="282828"/>
          <w:sz w:val="21"/>
        </w:rPr>
        <w:t>In real manufacturing environments, unconstrained exploration can lead the policy to test dangerous actions (e.g., pushing motor speeds to failure to observe limits). To prevent hardware damage, industrial setups implement Constrained Markov Decision Processes (CMDPs) or safe RL wrappers:</w:t>
      </w:r>
    </w:p>
    <w:tbl>
      <w:tblPr>
        <w:tblW w:type="auto" w:w="0"/>
        <w:jc w:val="center"/>
        <w:tblLook w:firstColumn="1" w:firstRow="1" w:lastColumn="0" w:lastRow="0" w:noHBand="0" w:noVBand="1" w:val="04A0"/>
      </w:tblPr>
      <w:tblGrid>
        <w:gridCol w:w="9360"/>
      </w:tblGrid>
      <w:tr>
        <w:tc>
          <w:tcPr>
            <w:tcW w:type="dxa" w:w="9360"/>
            <w:shd w:fill="F7F9FA"/>
            <w:tcMar>
              <w:top w:w="80" w:type="dxa"/>
              <w:bottom w:w="80" w:type="dxa"/>
              <w:left w:w="150" w:type="dxa"/>
              <w:right w:w="150" w:type="dxa"/>
            </w:tcMar>
            <w:tcBorders>
              <w:left w:val="single" w:sz="24" w:space="0" w:color="1B365D"/>
              <w:top w:val="none"/>
              <w:right w:val="none"/>
              <w:bottom w:val="none"/>
            </w:tcBorders>
          </w:tcPr>
          <w:p>
            <w:pPr>
              <w:spacing w:before="40" w:after="40"/>
              <w:jc w:val="center"/>
            </w:pPr>
            <w:r>
              <w:rPr>
                <w:rFonts w:ascii="Cambria Math" w:hAnsi="Cambria Math"/>
                <w:b/>
                <w:color w:val="14325A"/>
                <w:sz w:val="21"/>
              </w:rPr>
              <w:t>max_π E_π [ Σ R_t ]   subject to   E_π [ Σ C_t^(Safety) ] ≤ Δ_Risk</w:t>
            </w:r>
          </w:p>
        </w:tc>
      </w:tr>
    </w:tbl>
    <w:p>
      <w:pPr>
        <w:spacing w:before="0" w:after="80" w:line="276" w:lineRule="auto"/>
        <w:jc w:val="both"/>
      </w:pPr>
      <w:r>
        <w:rPr>
          <w:rFonts w:ascii="Calibri" w:hAnsi="Calibri"/>
          <w:color w:val="282828"/>
          <w:sz w:val="21"/>
        </w:rPr>
        <w:t>This guarantees that operational parameters stay within physical safety bounds during offline training and real-time inference.</w:t>
      </w:r>
    </w:p>
    <w:p>
      <w:pPr>
        <w:keepNext/>
        <w:spacing w:before="320" w:after="120"/>
      </w:pPr>
      <w:r>
        <w:rPr>
          <w:rFonts w:ascii="Calibri" w:hAnsi="Calibri"/>
          <w:b/>
          <w:color w:val="1B365D"/>
          <w:sz w:val="24"/>
        </w:rPr>
        <w:t>QUESTION 5: PUBLIC TRANSPORTATION BUS SCHEDULING OPTIMIZATION</w:t>
      </w:r>
      <w:r>
        <w:rPr>
          <w:rFonts w:ascii="Calibri" w:hAnsi="Calibri"/>
          <w:b/>
          <w:color w:val="B45014"/>
          <w:sz w:val="20"/>
        </w:rPr>
        <w:t xml:space="preserve">  [5 Marks]</w:t>
      </w:r>
    </w:p>
    <w:p>
      <w:pPr>
        <w:keepNext/>
        <w:spacing w:before="160" w:after="80"/>
      </w:pPr>
      <w:r>
        <w:rPr>
          <w:rFonts w:ascii="Calibri" w:hAnsi="Calibri"/>
          <w:b/>
          <w:color w:val="28508C"/>
          <w:sz w:val="22"/>
        </w:rPr>
        <w:t>1. Urban Mobility Challenges</w:t>
      </w:r>
    </w:p>
    <w:p>
      <w:pPr>
        <w:spacing w:before="0" w:after="80" w:line="276" w:lineRule="auto"/>
        <w:jc w:val="both"/>
      </w:pPr>
      <w:r>
        <w:rPr>
          <w:rFonts w:ascii="Calibri" w:hAnsi="Calibri"/>
          <w:color w:val="282828"/>
          <w:sz w:val="21"/>
        </w:rPr>
        <w:t>Public transit bus operations suffer from dynamic passenger demand peaks and uncoordinated route delays, causing 'bus bunching' (where multiple buses on the same route arrive simultaneously, followed by long gaps). Fixed schedule dispatching cannot effectively fix these cascading delays once created.</w:t>
      </w:r>
    </w:p>
    <w:p>
      <w:pPr>
        <w:keepNext/>
        <w:spacing w:before="160" w:after="80"/>
      </w:pPr>
      <w:r>
        <w:rPr>
          <w:rFonts w:ascii="Calibri" w:hAnsi="Calibri"/>
          <w:b/>
          <w:color w:val="28508C"/>
          <w:sz w:val="22"/>
        </w:rPr>
        <w:t>2. MDP Formulation</w:t>
      </w:r>
    </w:p>
    <w:p>
      <w:pPr>
        <w:pStyle w:val="ListBullet"/>
        <w:spacing w:before="0" w:after="60" w:line="276" w:lineRule="auto"/>
        <w:ind w:left="360"/>
      </w:pPr>
      <w:r>
        <w:rPr>
          <w:rFonts w:ascii="Calibri" w:hAnsi="Calibri"/>
          <w:b/>
          <w:color w:val="1E1E1E"/>
          <w:sz w:val="21"/>
        </w:rPr>
        <w:t xml:space="preserve">State Space (S) — Headway Delta: </w:t>
      </w:r>
      <w:r>
        <w:rPr>
          <w:rFonts w:ascii="Calibri" w:hAnsi="Calibri"/>
          <w:color w:val="282828"/>
          <w:sz w:val="21"/>
        </w:rPr>
        <w:t>Headway time/distance gap to preceding and succeeding buses on the route line.</w:t>
      </w:r>
    </w:p>
    <w:p>
      <w:pPr>
        <w:pStyle w:val="ListBullet"/>
        <w:spacing w:before="0" w:after="60" w:line="276" w:lineRule="auto"/>
        <w:ind w:left="360"/>
      </w:pPr>
      <w:r>
        <w:rPr>
          <w:rFonts w:ascii="Calibri" w:hAnsi="Calibri"/>
          <w:b/>
          <w:color w:val="1E1E1E"/>
          <w:sz w:val="21"/>
        </w:rPr>
        <w:t xml:space="preserve">State Space (S) — Stop Queue: </w:t>
      </w:r>
      <w:r>
        <w:rPr>
          <w:rFonts w:ascii="Calibri" w:hAnsi="Calibri"/>
          <w:color w:val="282828"/>
          <w:sz w:val="21"/>
        </w:rPr>
        <w:t>Real-time passenger queue counts recorded by IoT bus-stop cameras and smart card validation gates.</w:t>
      </w:r>
    </w:p>
    <w:p>
      <w:pPr>
        <w:pStyle w:val="ListBullet"/>
        <w:spacing w:before="0" w:after="60" w:line="276" w:lineRule="auto"/>
        <w:ind w:left="360"/>
      </w:pPr>
      <w:r>
        <w:rPr>
          <w:rFonts w:ascii="Calibri" w:hAnsi="Calibri"/>
          <w:b/>
          <w:color w:val="1E1E1E"/>
          <w:sz w:val="21"/>
        </w:rPr>
        <w:t xml:space="preserve">State Space (S) — Vehicle Status: </w:t>
      </w:r>
      <w:r>
        <w:rPr>
          <w:rFonts w:ascii="Calibri" w:hAnsi="Calibri"/>
          <w:color w:val="282828"/>
          <w:sz w:val="21"/>
        </w:rPr>
        <w:t>On-board passenger capacity percentage, driver shift hours remaining.</w:t>
      </w:r>
    </w:p>
    <w:p>
      <w:pPr>
        <w:pStyle w:val="ListBullet"/>
        <w:spacing w:before="0" w:after="60" w:line="276" w:lineRule="auto"/>
        <w:ind w:left="360"/>
      </w:pPr>
      <w:r>
        <w:rPr>
          <w:rFonts w:ascii="Calibri" w:hAnsi="Calibri"/>
          <w:b/>
          <w:color w:val="1E1E1E"/>
          <w:sz w:val="21"/>
        </w:rPr>
        <w:t xml:space="preserve">State Space (S) — Segment Traffic: </w:t>
      </w:r>
      <w:r>
        <w:rPr>
          <w:rFonts w:ascii="Calibri" w:hAnsi="Calibri"/>
          <w:color w:val="282828"/>
          <w:sz w:val="21"/>
        </w:rPr>
        <w:t>Traffic congestion index on upcoming route links.</w:t>
      </w:r>
    </w:p>
    <w:p>
      <w:pPr>
        <w:pStyle w:val="ListBullet"/>
        <w:spacing w:before="0" w:after="60" w:line="276" w:lineRule="auto"/>
        <w:ind w:left="360"/>
      </w:pPr>
      <w:r>
        <w:rPr>
          <w:rFonts w:ascii="Calibri" w:hAnsi="Calibri"/>
          <w:b/>
          <w:color w:val="1E1E1E"/>
          <w:sz w:val="21"/>
        </w:rPr>
        <w:t xml:space="preserve">Action Space (A): </w:t>
      </w:r>
      <w:r>
        <w:rPr>
          <w:rFonts w:ascii="Calibri" w:hAnsi="Calibri"/>
          <w:color w:val="282828"/>
          <w:sz w:val="21"/>
        </w:rPr>
        <w:t>Hold vehicle at station for Δt seconds (headway alignment), Skip stop (express mode), or Adjust cruising speed band.</w:t>
      </w:r>
    </w:p>
    <w:p>
      <w:pPr>
        <w:spacing w:before="0" w:after="80" w:line="276" w:lineRule="auto"/>
        <w:jc w:val="both"/>
      </w:pPr>
      <w:r>
        <w:rPr>
          <w:rFonts w:ascii="Calibri" w:hAnsi="Calibri"/>
          <w:color w:val="282828"/>
          <w:sz w:val="21"/>
        </w:rPr>
        <w:t>The optimization objective minimizes passenger waiting times and operational costs:</w:t>
      </w:r>
    </w:p>
    <w:tbl>
      <w:tblPr>
        <w:tblW w:type="auto" w:w="0"/>
        <w:jc w:val="center"/>
        <w:tblLook w:firstColumn="1" w:firstRow="1" w:lastColumn="0" w:lastRow="0" w:noHBand="0" w:noVBand="1" w:val="04A0"/>
      </w:tblPr>
      <w:tblGrid>
        <w:gridCol w:w="9360"/>
      </w:tblGrid>
      <w:tr>
        <w:tc>
          <w:tcPr>
            <w:tcW w:type="dxa" w:w="9360"/>
            <w:shd w:fill="F7F9FA"/>
            <w:tcMar>
              <w:top w:w="80" w:type="dxa"/>
              <w:bottom w:w="80" w:type="dxa"/>
              <w:left w:w="150" w:type="dxa"/>
              <w:right w:w="150" w:type="dxa"/>
            </w:tcMar>
            <w:tcBorders>
              <w:left w:val="single" w:sz="24" w:space="0" w:color="1B365D"/>
              <w:top w:val="none"/>
              <w:right w:val="none"/>
              <w:bottom w:val="none"/>
            </w:tcBorders>
          </w:tcPr>
          <w:p>
            <w:pPr>
              <w:spacing w:before="40" w:after="40"/>
              <w:jc w:val="center"/>
            </w:pPr>
            <w:r>
              <w:rPr>
                <w:rFonts w:ascii="Cambria Math" w:hAnsi="Cambria Math"/>
                <w:b/>
                <w:color w:val="14325A"/>
                <w:sz w:val="21"/>
              </w:rPr>
              <w:t>R = - [ w_1 · Σ (PassengerWaitTime) + w_2 · HeadwayVariance + w_3 · FuelConsumption ]</w:t>
            </w:r>
          </w:p>
        </w:tc>
      </w:tr>
    </w:tbl>
    <w:p>
      <w:pPr>
        <w:keepNext/>
        <w:spacing w:before="160" w:after="80"/>
      </w:pPr>
      <w:r>
        <w:rPr>
          <w:rFonts w:ascii="Calibri" w:hAnsi="Calibri"/>
          <w:b/>
          <w:color w:val="28508C"/>
          <w:sz w:val="22"/>
        </w:rPr>
        <w:t>3. Real-Time Data Integration</w:t>
      </w:r>
    </w:p>
    <w:p>
      <w:pPr>
        <w:spacing w:before="0" w:after="80" w:line="276" w:lineRule="auto"/>
        <w:jc w:val="both"/>
      </w:pPr>
      <w:r>
        <w:rPr>
          <w:rFonts w:ascii="Calibri" w:hAnsi="Calibri"/>
          <w:color w:val="282828"/>
          <w:sz w:val="21"/>
        </w:rPr>
        <w:t>Integrating telemetry from automated passenger counters (APC) and GPS location feeds enables the RL policy (e.g., PPO) to continuously adjust dispatch times. This eliminates bus bunching, reduces average commuter wait times, and maximizes fleet efficiency across urban transit networks.</w:t>
      </w:r>
    </w:p>
    <w:p>
      <w:pPr>
        <w:keepNext/>
        <w:spacing w:before="320" w:after="120"/>
      </w:pPr>
      <w:r>
        <w:rPr>
          <w:rFonts w:ascii="Calibri" w:hAnsi="Calibri"/>
          <w:b/>
          <w:color w:val="1B365D"/>
          <w:sz w:val="24"/>
        </w:rPr>
        <w:t>QUESTION 6: E-COMMERCE DYNAMIC PRICING</w:t>
      </w:r>
      <w:r>
        <w:rPr>
          <w:rFonts w:ascii="Calibri" w:hAnsi="Calibri"/>
          <w:b/>
          <w:color w:val="B45014"/>
          <w:sz w:val="20"/>
        </w:rPr>
        <w:t xml:space="preserve">  [5 Marks]</w:t>
      </w:r>
    </w:p>
    <w:p>
      <w:pPr>
        <w:keepNext/>
        <w:spacing w:before="160" w:after="80"/>
      </w:pPr>
      <w:r>
        <w:rPr>
          <w:rFonts w:ascii="Calibri" w:hAnsi="Calibri"/>
          <w:b/>
          <w:color w:val="28508C"/>
          <w:sz w:val="22"/>
        </w:rPr>
        <w:t>1. Market Context</w:t>
      </w:r>
    </w:p>
    <w:p>
      <w:pPr>
        <w:spacing w:before="0" w:after="80" w:line="276" w:lineRule="auto"/>
        <w:jc w:val="both"/>
      </w:pPr>
      <w:r>
        <w:rPr>
          <w:rFonts w:ascii="Calibri" w:hAnsi="Calibri"/>
          <w:color w:val="282828"/>
          <w:sz w:val="21"/>
        </w:rPr>
        <w:t>E-commerce platforms manage extensive product catalogs with rapid demand fluctuations, shifting competitor pricing, and constrained inventory lifecycles. Standard rule-based pricing engines apply rigid percentage markups, missing broader market demand trends and revenue potential.</w:t>
      </w:r>
    </w:p>
    <w:p>
      <w:pPr>
        <w:keepNext/>
        <w:spacing w:before="160" w:after="80"/>
      </w:pPr>
      <w:r>
        <w:rPr>
          <w:rFonts w:ascii="Calibri" w:hAnsi="Calibri"/>
          <w:b/>
          <w:color w:val="28508C"/>
          <w:sz w:val="22"/>
        </w:rPr>
        <w:t>2. MDP Formulation</w:t>
      </w:r>
    </w:p>
    <w:p>
      <w:pPr>
        <w:pStyle w:val="ListBullet"/>
        <w:spacing w:before="0" w:after="60" w:line="276" w:lineRule="auto"/>
        <w:ind w:left="360"/>
      </w:pPr>
      <w:r>
        <w:rPr>
          <w:rFonts w:ascii="Calibri" w:hAnsi="Calibri"/>
          <w:b/>
          <w:color w:val="1E1E1E"/>
          <w:sz w:val="21"/>
        </w:rPr>
        <w:t xml:space="preserve">State Space (S): </w:t>
      </w:r>
      <w:r>
        <w:rPr>
          <w:rFonts w:ascii="Calibri" w:hAnsi="Calibri"/>
          <w:color w:val="282828"/>
          <w:sz w:val="21"/>
        </w:rPr>
        <w:t>Current inventory levels, days remaining in seasonal sales window, competitor price trajectories, historical sales velocity, customer conversion rates.</w:t>
      </w:r>
    </w:p>
    <w:p>
      <w:pPr>
        <w:pStyle w:val="ListBullet"/>
        <w:spacing w:before="0" w:after="60" w:line="276" w:lineRule="auto"/>
        <w:ind w:left="360"/>
      </w:pPr>
      <w:r>
        <w:rPr>
          <w:rFonts w:ascii="Calibri" w:hAnsi="Calibri"/>
          <w:b/>
          <w:color w:val="1E1E1E"/>
          <w:sz w:val="21"/>
        </w:rPr>
        <w:t xml:space="preserve">Action Space (A): </w:t>
      </w:r>
      <w:r>
        <w:rPr>
          <w:rFonts w:ascii="Calibri" w:hAnsi="Calibri"/>
          <w:color w:val="282828"/>
          <w:sz w:val="21"/>
        </w:rPr>
        <w:t>Selecting price multiplier λ ∈ [λ_min, λ_max] applied to product baseline cost.</w:t>
      </w:r>
    </w:p>
    <w:p>
      <w:pPr>
        <w:spacing w:before="0" w:after="80" w:line="276" w:lineRule="auto"/>
        <w:jc w:val="both"/>
      </w:pPr>
      <w:r>
        <w:rPr>
          <w:rFonts w:ascii="Calibri" w:hAnsi="Calibri"/>
          <w:color w:val="282828"/>
          <w:sz w:val="21"/>
        </w:rPr>
        <w:t>The objective is to maximize cumulative net revenue while managing inventory storage costs:</w:t>
      </w:r>
    </w:p>
    <w:tbl>
      <w:tblPr>
        <w:tblW w:type="auto" w:w="0"/>
        <w:jc w:val="center"/>
        <w:tblLook w:firstColumn="1" w:firstRow="1" w:lastColumn="0" w:lastRow="0" w:noHBand="0" w:noVBand="1" w:val="04A0"/>
      </w:tblPr>
      <w:tblGrid>
        <w:gridCol w:w="9360"/>
      </w:tblGrid>
      <w:tr>
        <w:tc>
          <w:tcPr>
            <w:tcW w:type="dxa" w:w="9360"/>
            <w:shd w:fill="F7F9FA"/>
            <w:tcMar>
              <w:top w:w="80" w:type="dxa"/>
              <w:bottom w:w="80" w:type="dxa"/>
              <w:left w:w="150" w:type="dxa"/>
              <w:right w:w="150" w:type="dxa"/>
            </w:tcMar>
            <w:tcBorders>
              <w:left w:val="single" w:sz="24" w:space="0" w:color="1B365D"/>
              <w:top w:val="none"/>
              <w:right w:val="none"/>
              <w:bottom w:val="none"/>
            </w:tcBorders>
          </w:tcPr>
          <w:p>
            <w:pPr>
              <w:spacing w:before="40" w:after="40"/>
              <w:jc w:val="center"/>
            </w:pPr>
            <w:r>
              <w:rPr>
                <w:rFonts w:ascii="Cambria Math" w:hAnsi="Cambria Math"/>
                <w:b/>
                <w:color w:val="14325A"/>
                <w:sz w:val="21"/>
              </w:rPr>
              <w:t>R_t = (Price_t - UnitCost) · UnitsSold_t - StorageHoldingCost · RemainingInventory_t</w:t>
            </w:r>
          </w:p>
        </w:tc>
      </w:tr>
    </w:tbl>
    <w:p>
      <w:pPr>
        <w:keepNext/>
        <w:spacing w:before="160" w:after="80"/>
      </w:pPr>
      <w:r>
        <w:rPr>
          <w:rFonts w:ascii="Calibri" w:hAnsi="Calibri"/>
          <w:b/>
          <w:color w:val="28508C"/>
          <w:sz w:val="22"/>
        </w:rPr>
        <w:t>3. Exploration vs. Exploitation Trade-off</w:t>
      </w:r>
    </w:p>
    <w:p>
      <w:pPr>
        <w:pStyle w:val="ListBullet"/>
        <w:spacing w:before="0" w:after="60" w:line="276" w:lineRule="auto"/>
        <w:ind w:left="360"/>
      </w:pPr>
      <w:r>
        <w:rPr>
          <w:rFonts w:ascii="Calibri" w:hAnsi="Calibri"/>
          <w:b/>
          <w:color w:val="1E1E1E"/>
          <w:sz w:val="21"/>
        </w:rPr>
        <w:t xml:space="preserve">Exploitation Hazard: </w:t>
      </w:r>
      <w:r>
        <w:rPr>
          <w:rFonts w:ascii="Calibri" w:hAnsi="Calibri"/>
          <w:color w:val="282828"/>
          <w:sz w:val="21"/>
        </w:rPr>
        <w:t>Setting prices too low yields high order volume but loses out on profit margin.</w:t>
      </w:r>
    </w:p>
    <w:p>
      <w:pPr>
        <w:pStyle w:val="ListBullet"/>
        <w:spacing w:before="0" w:after="60" w:line="276" w:lineRule="auto"/>
        <w:ind w:left="360"/>
      </w:pPr>
      <w:r>
        <w:rPr>
          <w:rFonts w:ascii="Calibri" w:hAnsi="Calibri"/>
          <w:b/>
          <w:color w:val="1E1E1E"/>
          <w:sz w:val="21"/>
        </w:rPr>
        <w:t xml:space="preserve">Exploration Risk: </w:t>
      </w:r>
      <w:r>
        <w:rPr>
          <w:rFonts w:ascii="Calibri" w:hAnsi="Calibri"/>
          <w:color w:val="282828"/>
          <w:sz w:val="21"/>
        </w:rPr>
        <w:t>Setting prices high to probe consumer price sensitivity risks customer churn and unsold stock.</w:t>
      </w:r>
    </w:p>
    <w:p>
      <w:pPr>
        <w:spacing w:before="0" w:after="80" w:line="276" w:lineRule="auto"/>
        <w:jc w:val="both"/>
      </w:pPr>
      <w:r>
        <w:rPr>
          <w:rFonts w:ascii="Calibri" w:hAnsi="Calibri"/>
          <w:color w:val="282828"/>
          <w:sz w:val="21"/>
        </w:rPr>
        <w:t>To resolve this, Soft Q-Learning and Entropy-Regularized Policy Optimization incorporate an explicit policy entropy term H(π(·|s)). This maintains structured pricing exploration within safe revenue bounds, discovering dynamic elasticity curves without damaging customer trust.</w:t>
      </w:r>
    </w:p>
    <w:p>
      <w:pPr>
        <w:keepNext/>
        <w:spacing w:before="320" w:after="120"/>
      </w:pPr>
      <w:r>
        <w:rPr>
          <w:rFonts w:ascii="Calibri" w:hAnsi="Calibri"/>
          <w:b/>
          <w:color w:val="1B365D"/>
          <w:sz w:val="24"/>
        </w:rPr>
        <w:t>QUESTION 7: SMART CITY WASTE MANAGEMENT SYSTEMS</w:t>
      </w:r>
      <w:r>
        <w:rPr>
          <w:rFonts w:ascii="Calibri" w:hAnsi="Calibri"/>
          <w:b/>
          <w:color w:val="B45014"/>
          <w:sz w:val="20"/>
        </w:rPr>
        <w:t xml:space="preserve">  [5 Marks]</w:t>
      </w:r>
    </w:p>
    <w:p>
      <w:pPr>
        <w:keepNext/>
        <w:spacing w:before="160" w:after="80"/>
      </w:pPr>
      <w:r>
        <w:rPr>
          <w:rFonts w:ascii="Calibri" w:hAnsi="Calibri"/>
          <w:b/>
          <w:color w:val="28508C"/>
          <w:sz w:val="22"/>
        </w:rPr>
        <w:t>1. Municipal Infrastructure Problem</w:t>
      </w:r>
    </w:p>
    <w:p>
      <w:pPr>
        <w:spacing w:before="0" w:after="80" w:line="276" w:lineRule="auto"/>
        <w:jc w:val="both"/>
      </w:pPr>
      <w:r>
        <w:rPr>
          <w:rFonts w:ascii="Calibri" w:hAnsi="Calibri"/>
          <w:color w:val="282828"/>
          <w:sz w:val="21"/>
        </w:rPr>
        <w:t>Traditional municipal waste management runs on fixed calendar routes, leading to inefficient collection runs for partially empty bins and overflow hazards during peak periods. Smart waste management uses ultrasonic IoT fill sensors combined with RL to execute dynamic, demand-driven route planning.</w:t>
      </w:r>
    </w:p>
    <w:p>
      <w:pPr>
        <w:keepNext/>
        <w:spacing w:before="160" w:after="80"/>
      </w:pPr>
      <w:r>
        <w:rPr>
          <w:rFonts w:ascii="Calibri" w:hAnsi="Calibri"/>
          <w:b/>
          <w:color w:val="28508C"/>
          <w:sz w:val="22"/>
        </w:rPr>
        <w:t>2. MDP Components</w:t>
      </w:r>
    </w:p>
    <w:p>
      <w:pPr>
        <w:pStyle w:val="ListBullet"/>
        <w:spacing w:before="0" w:after="60" w:line="276" w:lineRule="auto"/>
        <w:ind w:left="360"/>
      </w:pPr>
      <w:r>
        <w:rPr>
          <w:rFonts w:ascii="Calibri" w:hAnsi="Calibri"/>
          <w:b/>
          <w:color w:val="1E1E1E"/>
          <w:sz w:val="21"/>
        </w:rPr>
        <w:t xml:space="preserve">State Space (S): </w:t>
      </w:r>
      <w:r>
        <w:rPr>
          <w:rFonts w:ascii="Calibri" w:hAnsi="Calibri"/>
          <w:color w:val="282828"/>
          <w:sz w:val="21"/>
        </w:rPr>
        <w:t>Ultrasonic bin fill level (0–100%) across all urban zones, truck positions, remaining truck payload capacity, fuel metrics.</w:t>
      </w:r>
    </w:p>
    <w:p>
      <w:pPr>
        <w:pStyle w:val="ListBullet"/>
        <w:spacing w:before="0" w:after="60" w:line="276" w:lineRule="auto"/>
        <w:ind w:left="360"/>
      </w:pPr>
      <w:r>
        <w:rPr>
          <w:rFonts w:ascii="Calibri" w:hAnsi="Calibri"/>
          <w:b/>
          <w:color w:val="1E1E1E"/>
          <w:sz w:val="21"/>
        </w:rPr>
        <w:t xml:space="preserve">Action Space (A): </w:t>
      </w:r>
      <w:r>
        <w:rPr>
          <w:rFonts w:ascii="Calibri" w:hAnsi="Calibri"/>
          <w:color w:val="282828"/>
          <w:sz w:val="21"/>
        </w:rPr>
        <w:t>Dispatch truck to specific bin cluster, defer pickup, or return to disposal hub.</w:t>
      </w:r>
    </w:p>
    <w:p>
      <w:pPr>
        <w:spacing w:before="0" w:after="80" w:line="276" w:lineRule="auto"/>
        <w:jc w:val="both"/>
      </w:pPr>
      <w:r>
        <w:rPr>
          <w:rFonts w:ascii="Calibri" w:hAnsi="Calibri"/>
          <w:color w:val="282828"/>
          <w:sz w:val="21"/>
        </w:rPr>
        <w:t>The optimization reward balances fuel usage against bin overflows:</w:t>
      </w:r>
    </w:p>
    <w:tbl>
      <w:tblPr>
        <w:tblW w:type="auto" w:w="0"/>
        <w:jc w:val="center"/>
        <w:tblLook w:firstColumn="1" w:firstRow="1" w:lastColumn="0" w:lastRow="0" w:noHBand="0" w:noVBand="1" w:val="04A0"/>
      </w:tblPr>
      <w:tblGrid>
        <w:gridCol w:w="9360"/>
      </w:tblGrid>
      <w:tr>
        <w:tc>
          <w:tcPr>
            <w:tcW w:type="dxa" w:w="9360"/>
            <w:shd w:fill="F7F9FA"/>
            <w:tcMar>
              <w:top w:w="80" w:type="dxa"/>
              <w:bottom w:w="80" w:type="dxa"/>
              <w:left w:w="150" w:type="dxa"/>
              <w:right w:w="150" w:type="dxa"/>
            </w:tcMar>
            <w:tcBorders>
              <w:left w:val="single" w:sz="24" w:space="0" w:color="1B365D"/>
              <w:top w:val="none"/>
              <w:right w:val="none"/>
              <w:bottom w:val="none"/>
            </w:tcBorders>
          </w:tcPr>
          <w:p>
            <w:pPr>
              <w:spacing w:before="40" w:after="40"/>
              <w:jc w:val="center"/>
            </w:pPr>
            <w:r>
              <w:rPr>
                <w:rFonts w:ascii="Cambria Math" w:hAnsi="Cambria Math"/>
                <w:b/>
                <w:color w:val="14325A"/>
                <w:sz w:val="21"/>
              </w:rPr>
              <w:t>R = - [ c_1 · DistanceTraveled + c_2 · FuelSpent + c_3 · Σ (BinOverflowPenalties) ] + c_4 · WasteCollected</w:t>
            </w:r>
          </w:p>
        </w:tc>
      </w:tr>
    </w:tbl>
    <w:p>
      <w:pPr>
        <w:keepNext/>
        <w:spacing w:before="160" w:after="80"/>
      </w:pPr>
      <w:r>
        <w:rPr>
          <w:rFonts w:ascii="Calibri" w:hAnsi="Calibri"/>
          <w:b/>
          <w:color w:val="28508C"/>
          <w:sz w:val="22"/>
        </w:rPr>
        <w:t>3. Continuous Updates &amp; Operational Gains</w:t>
      </w:r>
    </w:p>
    <w:p>
      <w:pPr>
        <w:spacing w:before="0" w:after="80" w:line="276" w:lineRule="auto"/>
        <w:jc w:val="both"/>
      </w:pPr>
      <w:r>
        <w:rPr>
          <w:rFonts w:ascii="Calibri" w:hAnsi="Calibri"/>
          <w:color w:val="282828"/>
          <w:sz w:val="21"/>
        </w:rPr>
        <w:t>As smart bins send periodic telemetry updates, the RL routing agent continuously re-evaluates route value functions. Dynamic adjustments ensure trucks prioritize overflowing bins and skip low-volume areas, cutting municipal fuel costs, lowering carbon emissions, and eliminating waste overflows.</w:t>
      </w:r>
    </w:p>
    <w:p>
      <w:pPr>
        <w:keepNext/>
        <w:spacing w:before="320" w:after="120"/>
      </w:pPr>
      <w:r>
        <w:rPr>
          <w:rFonts w:ascii="Calibri" w:hAnsi="Calibri"/>
          <w:b/>
          <w:color w:val="1B365D"/>
          <w:sz w:val="24"/>
        </w:rPr>
        <w:t>QUESTION 8: TELECOM NETWORK BANDWIDTH ALLOCATION</w:t>
      </w:r>
      <w:r>
        <w:rPr>
          <w:rFonts w:ascii="Calibri" w:hAnsi="Calibri"/>
          <w:b/>
          <w:color w:val="B45014"/>
          <w:sz w:val="20"/>
        </w:rPr>
        <w:t xml:space="preserve">  [5 Marks]</w:t>
      </w:r>
    </w:p>
    <w:p>
      <w:pPr>
        <w:keepNext/>
        <w:spacing w:before="160" w:after="80"/>
      </w:pPr>
      <w:r>
        <w:rPr>
          <w:rFonts w:ascii="Calibri" w:hAnsi="Calibri"/>
          <w:b/>
          <w:color w:val="28508C"/>
          <w:sz w:val="22"/>
        </w:rPr>
        <w:t>1. 5G/6G Network Slicing Context</w:t>
      </w:r>
    </w:p>
    <w:p>
      <w:pPr>
        <w:spacing w:before="0" w:after="80" w:line="276" w:lineRule="auto"/>
        <w:jc w:val="both"/>
      </w:pPr>
      <w:r>
        <w:rPr>
          <w:rFonts w:ascii="Calibri" w:hAnsi="Calibri"/>
          <w:color w:val="282828"/>
          <w:sz w:val="21"/>
        </w:rPr>
        <w:t>Modern cellular infrastructure supports diverse traffic classes with different performance requirements, including Ultra-Reliable Low-Latency Communication (URLLC) for industrial automation and enhanced Mobile Broadband (eMBB) for video streaming. Static resource block partitioning leads to severe network congestion during traffic spikes.</w:t>
      </w:r>
    </w:p>
    <w:p>
      <w:pPr>
        <w:keepNext/>
        <w:spacing w:before="160" w:after="80"/>
      </w:pPr>
      <w:r>
        <w:rPr>
          <w:rFonts w:ascii="Calibri" w:hAnsi="Calibri"/>
          <w:b/>
          <w:color w:val="28508C"/>
          <w:sz w:val="22"/>
        </w:rPr>
        <w:t>2. MDP Formulation</w:t>
      </w:r>
    </w:p>
    <w:p>
      <w:pPr>
        <w:pStyle w:val="ListBullet"/>
        <w:spacing w:before="0" w:after="60" w:line="276" w:lineRule="auto"/>
        <w:ind w:left="360"/>
      </w:pPr>
      <w:r>
        <w:rPr>
          <w:rFonts w:ascii="Calibri" w:hAnsi="Calibri"/>
          <w:b/>
          <w:color w:val="1E1E1E"/>
          <w:sz w:val="21"/>
        </w:rPr>
        <w:t xml:space="preserve">State Space (S): </w:t>
      </w:r>
      <w:r>
        <w:rPr>
          <w:rFonts w:ascii="Calibri" w:hAnsi="Calibri"/>
          <w:color w:val="282828"/>
          <w:sz w:val="21"/>
        </w:rPr>
        <w:t>Buffer queue depth per service slice, Channel Quality Indicator (CQI), active user counts, Signal-to-Interference-plus-Noise Ratio (SINR), latency logs.</w:t>
      </w:r>
    </w:p>
    <w:p>
      <w:pPr>
        <w:pStyle w:val="ListBullet"/>
        <w:spacing w:before="0" w:after="60" w:line="276" w:lineRule="auto"/>
        <w:ind w:left="360"/>
      </w:pPr>
      <w:r>
        <w:rPr>
          <w:rFonts w:ascii="Calibri" w:hAnsi="Calibri"/>
          <w:b/>
          <w:color w:val="1E1E1E"/>
          <w:sz w:val="21"/>
        </w:rPr>
        <w:t xml:space="preserve">Action Space (A): </w:t>
      </w:r>
      <w:r>
        <w:rPr>
          <w:rFonts w:ascii="Calibri" w:hAnsi="Calibri"/>
          <w:color w:val="282828"/>
          <w:sz w:val="21"/>
        </w:rPr>
        <w:t>Dynamic allocation of physical resource blocks (PRBs) and base station transmit power.</w:t>
      </w:r>
    </w:p>
    <w:p>
      <w:pPr>
        <w:spacing w:before="0" w:after="80" w:line="276" w:lineRule="auto"/>
        <w:jc w:val="both"/>
      </w:pPr>
      <w:r>
        <w:rPr>
          <w:rFonts w:ascii="Calibri" w:hAnsi="Calibri"/>
          <w:color w:val="282828"/>
          <w:sz w:val="21"/>
        </w:rPr>
        <w:t>The objective optimizes total throughput subject to strict Quality of Service (QoS) constraints:</w:t>
      </w:r>
    </w:p>
    <w:tbl>
      <w:tblPr>
        <w:tblW w:type="auto" w:w="0"/>
        <w:jc w:val="center"/>
        <w:tblLook w:firstColumn="1" w:firstRow="1" w:lastColumn="0" w:lastRow="0" w:noHBand="0" w:noVBand="1" w:val="04A0"/>
      </w:tblPr>
      <w:tblGrid>
        <w:gridCol w:w="9360"/>
      </w:tblGrid>
      <w:tr>
        <w:tc>
          <w:tcPr>
            <w:tcW w:type="dxa" w:w="9360"/>
            <w:shd w:fill="F7F9FA"/>
            <w:tcMar>
              <w:top w:w="80" w:type="dxa"/>
              <w:bottom w:w="80" w:type="dxa"/>
              <w:left w:w="150" w:type="dxa"/>
              <w:right w:w="150" w:type="dxa"/>
            </w:tcMar>
            <w:tcBorders>
              <w:left w:val="single" w:sz="24" w:space="0" w:color="1B365D"/>
              <w:top w:val="none"/>
              <w:right w:val="none"/>
              <w:bottom w:val="none"/>
            </w:tcBorders>
          </w:tcPr>
          <w:p>
            <w:pPr>
              <w:spacing w:before="40" w:after="40"/>
              <w:jc w:val="center"/>
            </w:pPr>
            <w:r>
              <w:rPr>
                <w:rFonts w:ascii="Cambria Math" w:hAnsi="Cambria Math"/>
                <w:b/>
                <w:color w:val="14325A"/>
                <w:sz w:val="21"/>
              </w:rPr>
              <w:t>R = Σ_i [ Throughput_i - λ_i · LatencyViolation_i - μ_i · PacketDropCount_i ]</w:t>
            </w:r>
          </w:p>
        </w:tc>
      </w:tr>
    </w:tbl>
    <w:p>
      <w:pPr>
        <w:keepNext/>
        <w:spacing w:before="160" w:after="80"/>
      </w:pPr>
      <w:r>
        <w:rPr>
          <w:rFonts w:ascii="Calibri" w:hAnsi="Calibri"/>
          <w:b/>
          <w:color w:val="28508C"/>
          <w:sz w:val="22"/>
        </w:rPr>
        <w:t>3. Dynamic Adaptation Mechanics</w:t>
      </w:r>
    </w:p>
    <w:p>
      <w:pPr>
        <w:spacing w:before="0" w:after="80" w:line="276" w:lineRule="auto"/>
        <w:jc w:val="both"/>
      </w:pPr>
      <w:r>
        <w:rPr>
          <w:rFonts w:ascii="Calibri" w:hAnsi="Calibri"/>
          <w:color w:val="282828"/>
          <w:sz w:val="21"/>
        </w:rPr>
        <w:t>Using model-free Deep RL (e.g., PPO or Soft Actor-Critic), network controllers adjust resource allocations in milliseconds based on fluctuating traffic demand and channel fading. This maintains Quality of Service (QoS) guarantees across high-priority network slices without human intervention.</w:t>
      </w:r>
    </w:p>
    <w:p>
      <w:pPr>
        <w:keepNext/>
        <w:spacing w:before="320" w:after="120"/>
      </w:pPr>
      <w:r>
        <w:rPr>
          <w:rFonts w:ascii="Calibri" w:hAnsi="Calibri"/>
          <w:b/>
          <w:color w:val="1B365D"/>
          <w:sz w:val="24"/>
        </w:rPr>
        <w:t>QUESTION 9: FINANCIAL PORTFOLIO MANAGEMENT</w:t>
      </w:r>
      <w:r>
        <w:rPr>
          <w:rFonts w:ascii="Calibri" w:hAnsi="Calibri"/>
          <w:b/>
          <w:color w:val="B45014"/>
          <w:sz w:val="20"/>
        </w:rPr>
        <w:t xml:space="preserve">  [5 Marks]</w:t>
      </w:r>
    </w:p>
    <w:p>
      <w:pPr>
        <w:keepNext/>
        <w:spacing w:before="160" w:after="80"/>
      </w:pPr>
      <w:r>
        <w:rPr>
          <w:rFonts w:ascii="Calibri" w:hAnsi="Calibri"/>
          <w:b/>
          <w:color w:val="28508C"/>
          <w:sz w:val="22"/>
        </w:rPr>
        <w:t>1. Financial Context &amp; Modern Portfolio Theory Limits</w:t>
      </w:r>
    </w:p>
    <w:p>
      <w:pPr>
        <w:spacing w:before="0" w:after="80" w:line="276" w:lineRule="auto"/>
        <w:jc w:val="both"/>
      </w:pPr>
      <w:r>
        <w:rPr>
          <w:rFonts w:ascii="Calibri" w:hAnsi="Calibri"/>
          <w:color w:val="282828"/>
          <w:sz w:val="21"/>
        </w:rPr>
        <w:t>Traditional portfolio theory (e.g., Markowitz Mean-Variance Framework) assumes static asset correlations and normally distributed returns. Financial markets exhibit extreme non-linearities, heavy-tailed risks, and dynamic regime changes. RL models portfolio management as a continuous control problem without relying on rigid statistical distribution assumptions.</w:t>
      </w:r>
    </w:p>
    <w:p>
      <w:pPr>
        <w:keepNext/>
        <w:spacing w:before="160" w:after="80"/>
      </w:pPr>
      <w:r>
        <w:rPr>
          <w:rFonts w:ascii="Calibri" w:hAnsi="Calibri"/>
          <w:b/>
          <w:color w:val="28508C"/>
          <w:sz w:val="22"/>
        </w:rPr>
        <w:t>2. MDP Formulation</w:t>
      </w:r>
    </w:p>
    <w:p>
      <w:pPr>
        <w:pStyle w:val="ListBullet"/>
        <w:spacing w:before="0" w:after="60" w:line="276" w:lineRule="auto"/>
        <w:ind w:left="360"/>
      </w:pPr>
      <w:r>
        <w:rPr>
          <w:rFonts w:ascii="Calibri" w:hAnsi="Calibri"/>
          <w:b/>
          <w:color w:val="1E1E1E"/>
          <w:sz w:val="21"/>
        </w:rPr>
        <w:t xml:space="preserve">State Space (S): </w:t>
      </w:r>
      <w:r>
        <w:rPr>
          <w:rFonts w:ascii="Calibri" w:hAnsi="Calibri"/>
          <w:color w:val="282828"/>
          <w:sz w:val="21"/>
        </w:rPr>
        <w:t>Asset price time-series tensors, technical indicators (MACD, RSI, Volatility indices), macroeconomic signals, current cash-to-asset balance ratios.</w:t>
      </w:r>
    </w:p>
    <w:p>
      <w:pPr>
        <w:pStyle w:val="ListBullet"/>
        <w:spacing w:before="0" w:after="60" w:line="276" w:lineRule="auto"/>
        <w:ind w:left="360"/>
      </w:pPr>
      <w:r>
        <w:rPr>
          <w:rFonts w:ascii="Calibri" w:hAnsi="Calibri"/>
          <w:b/>
          <w:color w:val="1E1E1E"/>
          <w:sz w:val="21"/>
        </w:rPr>
        <w:t xml:space="preserve">Action Space (A): </w:t>
      </w:r>
      <w:r>
        <w:rPr>
          <w:rFonts w:ascii="Calibri" w:hAnsi="Calibri"/>
          <w:color w:val="282828"/>
          <w:sz w:val="21"/>
        </w:rPr>
        <w:t>Portfolio rebalancing weight vector W_t = [w_1, w_2, ..., w_k] subject to Σ w_i = 1 and w_i ≥ 0.</w:t>
      </w:r>
    </w:p>
    <w:p>
      <w:pPr>
        <w:spacing w:before="0" w:after="80" w:line="276" w:lineRule="auto"/>
        <w:jc w:val="both"/>
      </w:pPr>
      <w:r>
        <w:rPr>
          <w:rFonts w:ascii="Calibri" w:hAnsi="Calibri"/>
          <w:color w:val="282828"/>
          <w:sz w:val="21"/>
        </w:rPr>
        <w:t>The reward mechanism is explicitly tied to risk-adjusted return performance metrics, such as the Differential Sharpe Ratio:</w:t>
      </w:r>
    </w:p>
    <w:tbl>
      <w:tblPr>
        <w:tblW w:type="auto" w:w="0"/>
        <w:jc w:val="center"/>
        <w:tblLook w:firstColumn="1" w:firstRow="1" w:lastColumn="0" w:lastRow="0" w:noHBand="0" w:noVBand="1" w:val="04A0"/>
      </w:tblPr>
      <w:tblGrid>
        <w:gridCol w:w="9360"/>
      </w:tblGrid>
      <w:tr>
        <w:tc>
          <w:tcPr>
            <w:tcW w:type="dxa" w:w="9360"/>
            <w:shd w:fill="F7F9FA"/>
            <w:tcMar>
              <w:top w:w="80" w:type="dxa"/>
              <w:bottom w:w="80" w:type="dxa"/>
              <w:left w:w="150" w:type="dxa"/>
              <w:right w:w="150" w:type="dxa"/>
            </w:tcMar>
            <w:tcBorders>
              <w:left w:val="single" w:sz="24" w:space="0" w:color="1B365D"/>
              <w:top w:val="none"/>
              <w:right w:val="none"/>
              <w:bottom w:val="none"/>
            </w:tcBorders>
          </w:tcPr>
          <w:p>
            <w:pPr>
              <w:spacing w:before="40" w:after="40"/>
              <w:jc w:val="center"/>
            </w:pPr>
            <w:r>
              <w:rPr>
                <w:rFonts w:ascii="Cambria Math" w:hAnsi="Cambria Math"/>
                <w:b/>
                <w:color w:val="14325A"/>
                <w:sz w:val="21"/>
              </w:rPr>
              <w:t>R_t = (r_p - r_f) / σ_downside</w:t>
            </w:r>
          </w:p>
        </w:tc>
      </w:tr>
    </w:tbl>
    <w:p>
      <w:pPr>
        <w:keepNext/>
        <w:spacing w:before="160" w:after="80"/>
      </w:pPr>
      <w:r>
        <w:rPr>
          <w:rFonts w:ascii="Calibri" w:hAnsi="Calibri"/>
          <w:b/>
          <w:color w:val="28508C"/>
          <w:sz w:val="22"/>
        </w:rPr>
        <w:t>3. Financial Risk Challenges</w:t>
      </w:r>
    </w:p>
    <w:p>
      <w:pPr>
        <w:spacing w:before="0" w:after="80" w:line="276" w:lineRule="auto"/>
        <w:jc w:val="both"/>
      </w:pPr>
      <w:r>
        <w:rPr>
          <w:rFonts w:ascii="Calibri" w:hAnsi="Calibri"/>
          <w:color w:val="282828"/>
          <w:sz w:val="21"/>
        </w:rPr>
        <w:t>Financial data exhibits low signal-to-noise ratios, making agents prone to overfitting market noise. Additionally, trading costs and slippage must be included directly in the reward function to prevent excessive trading. Deep RL agents balance portfolio growth with downside risk protection across changing market environments.</w:t>
      </w:r>
    </w:p>
    <w:p>
      <w:pPr>
        <w:keepNext/>
        <w:spacing w:before="320" w:after="120"/>
      </w:pPr>
      <w:r>
        <w:rPr>
          <w:rFonts w:ascii="Calibri" w:hAnsi="Calibri"/>
          <w:b/>
          <w:color w:val="1B365D"/>
          <w:sz w:val="24"/>
        </w:rPr>
        <w:t>QUESTION 10: RENEWABLE ENERGY MANAGEMENT SYSTEMS</w:t>
      </w:r>
      <w:r>
        <w:rPr>
          <w:rFonts w:ascii="Calibri" w:hAnsi="Calibri"/>
          <w:b/>
          <w:color w:val="B45014"/>
          <w:sz w:val="20"/>
        </w:rPr>
        <w:t xml:space="preserve">  [5 Marks]</w:t>
      </w:r>
    </w:p>
    <w:p>
      <w:pPr>
        <w:keepNext/>
        <w:spacing w:before="160" w:after="80"/>
      </w:pPr>
      <w:r>
        <w:rPr>
          <w:rFonts w:ascii="Calibri" w:hAnsi="Calibri"/>
          <w:b/>
          <w:color w:val="28508C"/>
          <w:sz w:val="22"/>
        </w:rPr>
        <w:t>1. Microgrid Stabilization Context</w:t>
      </w:r>
    </w:p>
    <w:p>
      <w:pPr>
        <w:spacing w:before="0" w:after="80" w:line="276" w:lineRule="auto"/>
        <w:jc w:val="both"/>
      </w:pPr>
      <w:r>
        <w:rPr>
          <w:rFonts w:ascii="Calibri" w:hAnsi="Calibri"/>
          <w:color w:val="282828"/>
          <w:sz w:val="21"/>
        </w:rPr>
        <w:t>Integrating renewable energy sources (solar, wind) into smart microgrids introduces generation intermittency. Battery Energy Storage Systems (BESS) must balance power supply and demand while managing electricity market price dynamics and battery wear.</w:t>
      </w:r>
    </w:p>
    <w:p>
      <w:pPr>
        <w:keepNext/>
        <w:spacing w:before="160" w:after="80"/>
      </w:pPr>
      <w:r>
        <w:rPr>
          <w:rFonts w:ascii="Calibri" w:hAnsi="Calibri"/>
          <w:b/>
          <w:color w:val="28508C"/>
          <w:sz w:val="22"/>
        </w:rPr>
        <w:t>2. MDP Formulation</w:t>
      </w:r>
    </w:p>
    <w:p>
      <w:pPr>
        <w:pStyle w:val="ListBullet"/>
        <w:spacing w:before="0" w:after="60" w:line="276" w:lineRule="auto"/>
        <w:ind w:left="360"/>
      </w:pPr>
      <w:r>
        <w:rPr>
          <w:rFonts w:ascii="Calibri" w:hAnsi="Calibri"/>
          <w:b/>
          <w:color w:val="1E1E1E"/>
          <w:sz w:val="21"/>
        </w:rPr>
        <w:t xml:space="preserve">State Space (S): </w:t>
      </w:r>
      <w:r>
        <w:rPr>
          <w:rFonts w:ascii="Calibri" w:hAnsi="Calibri"/>
          <w:color w:val="282828"/>
          <w:sz w:val="21"/>
        </w:rPr>
        <w:t>Battery State of Charge (SoC), solar irradiance forecasts, wind velocity profiles, grid power demand, spot electricity prices.</w:t>
      </w:r>
    </w:p>
    <w:p>
      <w:pPr>
        <w:pStyle w:val="ListBullet"/>
        <w:spacing w:before="0" w:after="60" w:line="276" w:lineRule="auto"/>
        <w:ind w:left="360"/>
      </w:pPr>
      <w:r>
        <w:rPr>
          <w:rFonts w:ascii="Calibri" w:hAnsi="Calibri"/>
          <w:b/>
          <w:color w:val="1E1E1E"/>
          <w:sz w:val="21"/>
        </w:rPr>
        <w:t xml:space="preserve">Action Space (A): </w:t>
      </w:r>
      <w:r>
        <w:rPr>
          <w:rFonts w:ascii="Calibri" w:hAnsi="Calibri"/>
          <w:color w:val="282828"/>
          <w:sz w:val="21"/>
        </w:rPr>
        <w:t>Battery charge/discharge rate p_t ∈ [-P_max, +P_max], grid dispatch volume, renewable generation curtailment.</w:t>
      </w:r>
    </w:p>
    <w:p>
      <w:pPr>
        <w:spacing w:before="0" w:after="80" w:line="276" w:lineRule="auto"/>
        <w:jc w:val="both"/>
      </w:pPr>
      <w:r>
        <w:rPr>
          <w:rFonts w:ascii="Calibri" w:hAnsi="Calibri"/>
          <w:color w:val="282828"/>
          <w:sz w:val="21"/>
        </w:rPr>
        <w:t>The reward function balances revenue against operational costs and battery degradation:</w:t>
      </w:r>
    </w:p>
    <w:tbl>
      <w:tblPr>
        <w:tblW w:type="auto" w:w="0"/>
        <w:jc w:val="center"/>
        <w:tblLook w:firstColumn="1" w:firstRow="1" w:lastColumn="0" w:lastRow="0" w:noHBand="0" w:noVBand="1" w:val="04A0"/>
      </w:tblPr>
      <w:tblGrid>
        <w:gridCol w:w="9360"/>
      </w:tblGrid>
      <w:tr>
        <w:tc>
          <w:tcPr>
            <w:tcW w:type="dxa" w:w="9360"/>
            <w:shd w:fill="F7F9FA"/>
            <w:tcMar>
              <w:top w:w="80" w:type="dxa"/>
              <w:bottom w:w="80" w:type="dxa"/>
              <w:left w:w="150" w:type="dxa"/>
              <w:right w:w="150" w:type="dxa"/>
            </w:tcMar>
            <w:tcBorders>
              <w:left w:val="single" w:sz="24" w:space="0" w:color="1B365D"/>
              <w:top w:val="none"/>
              <w:right w:val="none"/>
              <w:bottom w:val="none"/>
            </w:tcBorders>
          </w:tcPr>
          <w:p>
            <w:pPr>
              <w:spacing w:before="40" w:after="40"/>
              <w:jc w:val="center"/>
            </w:pPr>
            <w:r>
              <w:rPr>
                <w:rFonts w:ascii="Cambria Math" w:hAnsi="Cambria Math"/>
                <w:b/>
                <w:color w:val="14325A"/>
                <w:sz w:val="21"/>
              </w:rPr>
              <w:t>R_t = (EnergySold · SpotPrice) - (EnergyPurchased · Cost) - BatteryDegradationCost - UnmetDemandPenalty</w:t>
            </w:r>
          </w:p>
        </w:tc>
      </w:tr>
    </w:tbl>
    <w:p>
      <w:pPr>
        <w:keepNext/>
        <w:spacing w:before="160" w:after="80"/>
      </w:pPr>
      <w:r>
        <w:rPr>
          <w:rFonts w:ascii="Calibri" w:hAnsi="Calibri"/>
          <w:b/>
          <w:color w:val="28508C"/>
          <w:sz w:val="22"/>
        </w:rPr>
        <w:t>3. Managing Environmental Uncertainty</w:t>
      </w:r>
    </w:p>
    <w:p>
      <w:pPr>
        <w:spacing w:before="0" w:after="80" w:line="276" w:lineRule="auto"/>
        <w:jc w:val="both"/>
      </w:pPr>
      <w:r>
        <w:rPr>
          <w:rFonts w:ascii="Calibri" w:hAnsi="Calibri"/>
          <w:color w:val="282828"/>
          <w:sz w:val="21"/>
        </w:rPr>
        <w:t>Unpredictable weather patterns create variance in state transitions. Standard RL models optimize average performance, which can leave grids vulnerable during extreme weather events. Using Distributional RL (e.g., C51 or QR-DQN) allows the agent to evaluate full return distributions, ensuring stable grid operation, extending battery lifespan, and protecting against power outages during severe weather shifts.</w:t>
      </w:r>
    </w:p>
    <w:p>
      <w:r>
        <w:br w:type="page"/>
      </w:r>
    </w:p>
    <w:p>
      <w:pPr>
        <w:spacing w:before="240" w:after="120"/>
      </w:pPr>
      <w:r>
        <w:rPr>
          <w:rFonts w:ascii="Calibri" w:hAnsi="Calibri"/>
          <w:b/>
          <w:color w:val="1B365D"/>
          <w:sz w:val="26"/>
        </w:rPr>
        <w:t>CODE OF CONDUCT DECLARATION</w:t>
      </w:r>
    </w:p>
    <w:tbl>
      <w:tblPr>
        <w:tblW w:type="auto" w:w="0"/>
        <w:jc w:val="center"/>
        <w:tblLook w:firstColumn="1" w:firstRow="1" w:lastColumn="0" w:lastRow="0" w:noHBand="0" w:noVBand="1" w:val="04A0"/>
      </w:tblPr>
      <w:tblGrid>
        <w:gridCol w:w="9360"/>
      </w:tblGrid>
      <w:tr>
        <w:tc>
          <w:tcPr>
            <w:tcW w:type="dxa" w:w="9360"/>
            <w:shd w:fill="FAFAFA"/>
            <w:tcMar>
              <w:top w:w="150" w:type="dxa"/>
              <w:bottom w:w="150" w:type="dxa"/>
              <w:left w:w="200" w:type="dxa"/>
              <w:right w:w="200" w:type="dxa"/>
            </w:tcMar>
          </w:tcPr>
          <w:p>
            <w:pPr>
              <w:spacing w:line="288" w:lineRule="auto"/>
            </w:pPr>
            <w:r>
              <w:rPr>
                <w:rFonts w:ascii="Calibri" w:hAnsi="Calibri"/>
                <w:sz w:val="22"/>
              </w:rPr>
              <w:t xml:space="preserve">I </w:t>
            </w:r>
            <w:r>
              <w:rPr>
                <w:rFonts w:ascii="Calibri" w:hAnsi="Calibri"/>
                <w:b/>
                <w:sz w:val="22"/>
                <w:u w:val="single"/>
              </w:rPr>
              <w:t>Thanuja R (Reg No: 192325004)</w:t>
            </w:r>
            <w:r>
              <w:rPr>
                <w:rFonts w:ascii="Calibri" w:hAnsi="Calibri"/>
                <w:sz w:val="22"/>
              </w:rPr>
              <w:t xml:space="preserve"> certify that this submission is my original work and that I have adhered to the guidelines specified for this assessment.</w:t>
              <w:br/>
              <w:br/>
              <w:t>I understand that any violation of academic integrity rules will result in disciplinary action under university regulations.</w:t>
            </w:r>
          </w:p>
          <w:p>
            <w:pPr>
              <w:spacing w:before="400" w:after="0"/>
            </w:pPr>
            <w:r>
              <w:rPr>
                <w:rFonts w:ascii="Calibri" w:hAnsi="Calibri"/>
                <w:b/>
                <w:sz w:val="22"/>
              </w:rPr>
              <w:t xml:space="preserve">Digital Signature of Student: </w:t>
            </w:r>
            <w:r>
              <w:rPr>
                <w:rFonts w:ascii="Calibri" w:hAnsi="Calibri"/>
                <w:b/>
                <w:i/>
                <w:color w:val="1B365D"/>
                <w:sz w:val="24"/>
              </w:rPr>
              <w:t>Thanuja R</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7878"/>
        <w:sz w:val="18"/>
      </w:rPr>
      <w:t>SIMATS Engineering | Course Code: MLA03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