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087E8B"/>
          <w:sz w:val="22"/>
        </w:rPr>
        <w:t>THEME 2  |  ENVIRONMENT DATA ANALYTICS</w:t>
      </w:r>
    </w:p>
    <w:p>
      <w:pPr>
        <w:pStyle w:val="Title"/>
        <w:jc w:val="center"/>
      </w:pPr>
      <w:r>
        <w:t>Corporate Carbon Footprint Tracker</w:t>
      </w:r>
    </w:p>
    <w:p>
      <w:pPr>
        <w:jc w:val="center"/>
      </w:pPr>
      <w:r>
        <w:rPr>
          <w:color w:val="4B5563"/>
          <w:sz w:val="26"/>
        </w:rPr>
        <w:t>Deliverable 1: Data Collection, Extraction, Cleaning &amp; Documentation</w:t>
      </w:r>
    </w:p>
    <w:p/>
    <w:tbl>
      <w:tblPr>
        <w:tblW w:type="auto" w:w="0"/>
        <w:jc w:val="center"/>
        <w:tblLook w:firstColumn="1" w:firstRow="1" w:lastColumn="0" w:lastRow="0" w:noHBand="0" w:noVBand="1" w:val="04A0"/>
      </w:tblPr>
      <w:tblGrid>
        <w:gridCol w:w="9936"/>
      </w:tblGrid>
      <w:tr>
        <w:tc>
          <w:tcPr>
            <w:tcW w:type="dxa" w:w="9936"/>
            <w:shd w:fill="E8F4F4"/>
            <w:vAlign w:val="center"/>
          </w:tcPr>
          <w:p>
            <w:pPr>
              <w:spacing w:after="0"/>
            </w:pPr>
            <w:r/>
            <w:r>
              <w:rPr>
                <w:rFonts w:ascii="Aptos" w:hAnsi="Aptos"/>
                <w:b w:val="0"/>
                <w:color w:val="12304A"/>
                <w:sz w:val="22"/>
              </w:rPr>
              <w:t>Purpose: Build a traceable, standardized company-level emissions dataset that can serve as the foundation for the classification, trend analysis, forecasting, and pledge-comparison work in Deliverable 2.</w:t>
            </w:r>
          </w:p>
        </w:tc>
      </w:tr>
    </w:tbl>
    <w:p/>
    <w:p>
      <w:pPr>
        <w:jc w:val="center"/>
      </w:pPr>
      <w:r>
        <w:rPr>
          <w:i/>
          <w:color w:val="6B7280"/>
          <w:sz w:val="20"/>
        </w:rPr>
        <w:t>Project planning and implementation document</w:t>
      </w:r>
    </w:p>
    <w:p>
      <w:r>
        <w:br w:type="page"/>
      </w:r>
    </w:p>
    <w:p>
      <w:pPr>
        <w:pStyle w:val="Heading1"/>
      </w:pPr>
      <w:r>
        <w:t>1. Executive Summary</w:t>
      </w:r>
    </w:p>
    <w:p>
      <w:r>
        <w:t>Deliverable 1 focuses on building a reliable secondary dataset of corporate greenhouse-gas (GHG) emissions from publicly available sustainability disclosures and regulatory filings. The work covers source selection, data acquisition, extraction from APIs and PDF reports, normalization, validation, and documentation. The primary output is a clean CSV with company-year records and supporting source metadata.</w:t>
      </w:r>
    </w:p>
    <w:p>
      <w:r>
        <w:t>This deliverable is data engineering and preparation work; it does not require training the ML models described in Deliverable 2. Its success depends on consistent definitions, transparent handling of missing values, and the ability to trace each value back to its original disclosure.</w:t>
      </w:r>
    </w:p>
    <w:p>
      <w:pPr>
        <w:pStyle w:val="Heading1"/>
      </w:pPr>
      <w:r>
        <w:t>2. Objective and Scope</w:t>
      </w:r>
    </w:p>
    <w:p>
      <w:r>
        <w:t>Objective: Collect Scope 1, Scope 2, and Scope 3 emissions data from company sustainability disclosures and public filings, and prepare it for downstream analysis.</w:t>
      </w:r>
    </w:p>
    <w:p>
      <w:pPr>
        <w:pStyle w:val="ListBullet"/>
        <w:spacing w:after="40"/>
      </w:pPr>
      <w:r>
        <w:t>In scope: company and sector selection; reporting-period selection; source inventory; API retrieval where available; PDF/table extraction; data cleaning; unit and currency standardization; carbon-intensity calculation; quality checks; CSV export; and method documentation.</w:t>
      </w:r>
    </w:p>
    <w:p>
      <w:pPr>
        <w:pStyle w:val="ListBullet"/>
        <w:spacing w:after="40"/>
      </w:pPr>
      <w:r>
        <w:t>Out of scope for Deliverable 1: carbon-intensity classification, emissions forecasting, pledge-versus-actual performance analysis, and model evaluation. These belong to Deliverable 2.</w:t>
      </w:r>
    </w:p>
    <w:p>
      <w:pPr>
        <w:pStyle w:val="ListBullet"/>
        <w:spacing w:after="40"/>
      </w:pPr>
      <w:r>
        <w:t>Important limitation: public availability and disclosure formats vary. CDP data access may require registration, permission, or a data license; SEC filings cover relevant registrants and do not guarantee complete emissions metrics.</w:t>
      </w:r>
    </w:p>
    <w:p>
      <w:pPr>
        <w:pStyle w:val="Heading1"/>
      </w:pPr>
      <w:r>
        <w:t>3. Proposed Dataset Design</w:t>
      </w:r>
    </w:p>
    <w:p>
      <w:r>
        <w:t>Recommended observation grain: one row per company per reporting year. Preserve source-level records separately when a company publishes multiple reports or restates historical figures.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2304A"/>
          </w:tcPr>
          <w:p>
            <w:pPr>
              <w:spacing w:after="0"/>
            </w:pPr>
            <w:r/>
            <w:r>
              <w:rPr>
                <w:rFonts w:ascii="Aptos" w:hAnsi="Aptos"/>
                <w:b/>
                <w:color w:val="FFFFFF"/>
                <w:sz w:val="18"/>
              </w:rPr>
              <w:t>Field</w:t>
            </w:r>
          </w:p>
        </w:tc>
        <w:tc>
          <w:tcPr>
            <w:tcW w:type="dxa" w:w="4968"/>
            <w:vAlign w:val="center"/>
            <w:shd w:fill="12304A"/>
          </w:tcPr>
          <w:p>
            <w:pPr>
              <w:spacing w:after="0"/>
            </w:pPr>
            <w:r/>
            <w:r>
              <w:rPr>
                <w:rFonts w:ascii="Aptos" w:hAnsi="Aptos"/>
                <w:b/>
                <w:color w:val="FFFFFF"/>
                <w:sz w:val="18"/>
              </w:rPr>
              <w:t>Description / expected format</w:t>
            </w:r>
          </w:p>
        </w:tc>
      </w:tr>
      <w:tr>
        <w:tc>
          <w:tcPr>
            <w:tcW w:type="dxa" w:w="4968"/>
            <w:vAlign w:val="center"/>
          </w:tcPr>
          <w:p>
            <w:pPr>
              <w:spacing w:after="0"/>
            </w:pPr>
            <w:r/>
            <w:r>
              <w:rPr>
                <w:rFonts w:ascii="Aptos" w:hAnsi="Aptos"/>
                <w:b/>
                <w:sz w:val="16"/>
              </w:rPr>
              <w:t>company_id</w:t>
            </w:r>
          </w:p>
        </w:tc>
        <w:tc>
          <w:tcPr>
            <w:tcW w:type="dxa" w:w="4968"/>
            <w:vAlign w:val="center"/>
          </w:tcPr>
          <w:p>
            <w:pPr>
              <w:spacing w:after="0"/>
            </w:pPr>
            <w:r/>
            <w:r>
              <w:rPr>
                <w:rFonts w:ascii="Aptos" w:hAnsi="Aptos"/>
                <w:b w:val="0"/>
                <w:sz w:val="16"/>
              </w:rPr>
              <w:t>Stable internal identifier; avoid relying only on company name.</w:t>
            </w:r>
          </w:p>
        </w:tc>
      </w:tr>
      <w:tr>
        <w:tc>
          <w:tcPr>
            <w:tcW w:type="dxa" w:w="4968"/>
            <w:vAlign w:val="center"/>
          </w:tcPr>
          <w:p>
            <w:pPr>
              <w:spacing w:after="0"/>
            </w:pPr>
            <w:r/>
            <w:r>
              <w:rPr>
                <w:rFonts w:ascii="Aptos" w:hAnsi="Aptos"/>
                <w:b/>
                <w:sz w:val="16"/>
              </w:rPr>
              <w:t>company_name</w:t>
            </w:r>
          </w:p>
        </w:tc>
        <w:tc>
          <w:tcPr>
            <w:tcW w:type="dxa" w:w="4968"/>
            <w:vAlign w:val="center"/>
          </w:tcPr>
          <w:p>
            <w:pPr>
              <w:spacing w:after="0"/>
            </w:pPr>
            <w:r/>
            <w:r>
              <w:rPr>
                <w:rFonts w:ascii="Aptos" w:hAnsi="Aptos"/>
                <w:b w:val="0"/>
                <w:sz w:val="16"/>
              </w:rPr>
              <w:t>Reported company name, normalized for matching.</w:t>
            </w:r>
          </w:p>
        </w:tc>
      </w:tr>
      <w:tr>
        <w:tc>
          <w:tcPr>
            <w:tcW w:type="dxa" w:w="4968"/>
            <w:vAlign w:val="center"/>
          </w:tcPr>
          <w:p>
            <w:pPr>
              <w:spacing w:after="0"/>
            </w:pPr>
            <w:r/>
            <w:r>
              <w:rPr>
                <w:rFonts w:ascii="Aptos" w:hAnsi="Aptos"/>
                <w:b/>
                <w:sz w:val="16"/>
              </w:rPr>
              <w:t>ticker_or_lei</w:t>
            </w:r>
          </w:p>
        </w:tc>
        <w:tc>
          <w:tcPr>
            <w:tcW w:type="dxa" w:w="4968"/>
            <w:vAlign w:val="center"/>
          </w:tcPr>
          <w:p>
            <w:pPr>
              <w:spacing w:after="0"/>
            </w:pPr>
            <w:r/>
            <w:r>
              <w:rPr>
                <w:rFonts w:ascii="Aptos" w:hAnsi="Aptos"/>
                <w:b w:val="0"/>
                <w:sz w:val="16"/>
              </w:rPr>
              <w:t>Ticker, LEI, or other public identifier when available.</w:t>
            </w:r>
          </w:p>
        </w:tc>
      </w:tr>
      <w:tr>
        <w:tc>
          <w:tcPr>
            <w:tcW w:type="dxa" w:w="4968"/>
            <w:vAlign w:val="center"/>
          </w:tcPr>
          <w:p>
            <w:pPr>
              <w:spacing w:after="0"/>
            </w:pPr>
            <w:r/>
            <w:r>
              <w:rPr>
                <w:rFonts w:ascii="Aptos" w:hAnsi="Aptos"/>
                <w:b/>
                <w:sz w:val="16"/>
              </w:rPr>
              <w:t>sector</w:t>
            </w:r>
          </w:p>
        </w:tc>
        <w:tc>
          <w:tcPr>
            <w:tcW w:type="dxa" w:w="4968"/>
            <w:vAlign w:val="center"/>
          </w:tcPr>
          <w:p>
            <w:pPr>
              <w:spacing w:after="0"/>
            </w:pPr>
            <w:r/>
            <w:r>
              <w:rPr>
                <w:rFonts w:ascii="Aptos" w:hAnsi="Aptos"/>
                <w:b w:val="0"/>
                <w:sz w:val="16"/>
              </w:rPr>
              <w:t>Consistent sector classification used across companies.</w:t>
            </w:r>
          </w:p>
        </w:tc>
      </w:tr>
      <w:tr>
        <w:tc>
          <w:tcPr>
            <w:tcW w:type="dxa" w:w="4968"/>
            <w:vAlign w:val="center"/>
          </w:tcPr>
          <w:p>
            <w:pPr>
              <w:spacing w:after="0"/>
            </w:pPr>
            <w:r/>
            <w:r>
              <w:rPr>
                <w:rFonts w:ascii="Aptos" w:hAnsi="Aptos"/>
                <w:b/>
                <w:sz w:val="16"/>
              </w:rPr>
              <w:t>reporting_year</w:t>
            </w:r>
          </w:p>
        </w:tc>
        <w:tc>
          <w:tcPr>
            <w:tcW w:type="dxa" w:w="4968"/>
            <w:vAlign w:val="center"/>
          </w:tcPr>
          <w:p>
            <w:pPr>
              <w:spacing w:after="0"/>
            </w:pPr>
            <w:r/>
            <w:r>
              <w:rPr>
                <w:rFonts w:ascii="Aptos" w:hAnsi="Aptos"/>
                <w:b w:val="0"/>
                <w:sz w:val="16"/>
              </w:rPr>
              <w:t>Fiscal/reporting year to which the emissions figure applies.</w:t>
            </w:r>
          </w:p>
        </w:tc>
      </w:tr>
      <w:tr>
        <w:tc>
          <w:tcPr>
            <w:tcW w:type="dxa" w:w="4968"/>
            <w:vAlign w:val="center"/>
          </w:tcPr>
          <w:p>
            <w:pPr>
              <w:spacing w:after="0"/>
            </w:pPr>
            <w:r/>
            <w:r>
              <w:rPr>
                <w:rFonts w:ascii="Aptos" w:hAnsi="Aptos"/>
                <w:b/>
                <w:sz w:val="16"/>
              </w:rPr>
              <w:t>scope_1_tco2e</w:t>
            </w:r>
          </w:p>
        </w:tc>
        <w:tc>
          <w:tcPr>
            <w:tcW w:type="dxa" w:w="4968"/>
            <w:vAlign w:val="center"/>
          </w:tcPr>
          <w:p>
            <w:pPr>
              <w:spacing w:after="0"/>
            </w:pPr>
            <w:r/>
            <w:r>
              <w:rPr>
                <w:rFonts w:ascii="Aptos" w:hAnsi="Aptos"/>
                <w:b w:val="0"/>
                <w:sz w:val="16"/>
              </w:rPr>
              <w:t>Scope 1 emissions, tonnes of CO₂ equivalent.</w:t>
            </w:r>
          </w:p>
        </w:tc>
      </w:tr>
      <w:tr>
        <w:tc>
          <w:tcPr>
            <w:tcW w:type="dxa" w:w="4968"/>
            <w:vAlign w:val="center"/>
          </w:tcPr>
          <w:p>
            <w:pPr>
              <w:spacing w:after="0"/>
            </w:pPr>
            <w:r/>
            <w:r>
              <w:rPr>
                <w:rFonts w:ascii="Aptos" w:hAnsi="Aptos"/>
                <w:b/>
                <w:sz w:val="16"/>
              </w:rPr>
              <w:t>scope_2_location_tco2e</w:t>
            </w:r>
          </w:p>
        </w:tc>
        <w:tc>
          <w:tcPr>
            <w:tcW w:type="dxa" w:w="4968"/>
            <w:vAlign w:val="center"/>
          </w:tcPr>
          <w:p>
            <w:pPr>
              <w:spacing w:after="0"/>
            </w:pPr>
            <w:r/>
            <w:r>
              <w:rPr>
                <w:rFonts w:ascii="Aptos" w:hAnsi="Aptos"/>
                <w:b w:val="0"/>
                <w:sz w:val="16"/>
              </w:rPr>
              <w:t>Location-based Scope 2 emissions, if disclosed.</w:t>
            </w:r>
          </w:p>
        </w:tc>
      </w:tr>
      <w:tr>
        <w:tc>
          <w:tcPr>
            <w:tcW w:type="dxa" w:w="4968"/>
            <w:vAlign w:val="center"/>
          </w:tcPr>
          <w:p>
            <w:pPr>
              <w:spacing w:after="0"/>
            </w:pPr>
            <w:r/>
            <w:r>
              <w:rPr>
                <w:rFonts w:ascii="Aptos" w:hAnsi="Aptos"/>
                <w:b/>
                <w:sz w:val="16"/>
              </w:rPr>
              <w:t>scope_2_market_tco2e</w:t>
            </w:r>
          </w:p>
        </w:tc>
        <w:tc>
          <w:tcPr>
            <w:tcW w:type="dxa" w:w="4968"/>
            <w:vAlign w:val="center"/>
          </w:tcPr>
          <w:p>
            <w:pPr>
              <w:spacing w:after="0"/>
            </w:pPr>
            <w:r/>
            <w:r>
              <w:rPr>
                <w:rFonts w:ascii="Aptos" w:hAnsi="Aptos"/>
                <w:b w:val="0"/>
                <w:sz w:val="16"/>
              </w:rPr>
              <w:t>Market-based Scope 2 emissions, if disclosed.</w:t>
            </w:r>
          </w:p>
        </w:tc>
      </w:tr>
      <w:tr>
        <w:tc>
          <w:tcPr>
            <w:tcW w:type="dxa" w:w="4968"/>
            <w:vAlign w:val="center"/>
          </w:tcPr>
          <w:p>
            <w:pPr>
              <w:spacing w:after="0"/>
            </w:pPr>
            <w:r/>
            <w:r>
              <w:rPr>
                <w:rFonts w:ascii="Aptos" w:hAnsi="Aptos"/>
                <w:b/>
                <w:sz w:val="16"/>
              </w:rPr>
              <w:t>scope_3_tco2e</w:t>
            </w:r>
          </w:p>
        </w:tc>
        <w:tc>
          <w:tcPr>
            <w:tcW w:type="dxa" w:w="4968"/>
            <w:vAlign w:val="center"/>
          </w:tcPr>
          <w:p>
            <w:pPr>
              <w:spacing w:after="0"/>
            </w:pPr>
            <w:r/>
            <w:r>
              <w:rPr>
                <w:rFonts w:ascii="Aptos" w:hAnsi="Aptos"/>
                <w:b w:val="0"/>
                <w:sz w:val="16"/>
              </w:rPr>
              <w:t>Scope 3 total, if disclosed; preserve category detail separately when feasible.</w:t>
            </w:r>
          </w:p>
        </w:tc>
      </w:tr>
      <w:tr>
        <w:tc>
          <w:tcPr>
            <w:tcW w:type="dxa" w:w="4968"/>
            <w:vAlign w:val="center"/>
          </w:tcPr>
          <w:p>
            <w:pPr>
              <w:spacing w:after="0"/>
            </w:pPr>
            <w:r/>
            <w:r>
              <w:rPr>
                <w:rFonts w:ascii="Aptos" w:hAnsi="Aptos"/>
                <w:b/>
                <w:sz w:val="16"/>
              </w:rPr>
              <w:t>revenue_value</w:t>
            </w:r>
          </w:p>
        </w:tc>
        <w:tc>
          <w:tcPr>
            <w:tcW w:type="dxa" w:w="4968"/>
            <w:vAlign w:val="center"/>
          </w:tcPr>
          <w:p>
            <w:pPr>
              <w:spacing w:after="0"/>
            </w:pPr>
            <w:r/>
            <w:r>
              <w:rPr>
                <w:rFonts w:ascii="Aptos" w:hAnsi="Aptos"/>
                <w:b w:val="0"/>
                <w:sz w:val="16"/>
              </w:rPr>
              <w:t>Revenue corresponding to the same reporting period.</w:t>
            </w:r>
          </w:p>
        </w:tc>
      </w:tr>
      <w:tr>
        <w:tc>
          <w:tcPr>
            <w:tcW w:type="dxa" w:w="4968"/>
            <w:vAlign w:val="center"/>
          </w:tcPr>
          <w:p>
            <w:pPr>
              <w:spacing w:after="0"/>
            </w:pPr>
            <w:r/>
            <w:r>
              <w:rPr>
                <w:rFonts w:ascii="Aptos" w:hAnsi="Aptos"/>
                <w:b/>
                <w:sz w:val="16"/>
              </w:rPr>
              <w:t>revenue_currency</w:t>
            </w:r>
          </w:p>
        </w:tc>
        <w:tc>
          <w:tcPr>
            <w:tcW w:type="dxa" w:w="4968"/>
            <w:vAlign w:val="center"/>
          </w:tcPr>
          <w:p>
            <w:pPr>
              <w:spacing w:after="0"/>
            </w:pPr>
            <w:r/>
            <w:r>
              <w:rPr>
                <w:rFonts w:ascii="Aptos" w:hAnsi="Aptos"/>
                <w:b w:val="0"/>
                <w:sz w:val="16"/>
              </w:rPr>
              <w:t>Currency code, e.g., USD, INR, EUR.</w:t>
            </w:r>
          </w:p>
        </w:tc>
      </w:tr>
      <w:tr>
        <w:tc>
          <w:tcPr>
            <w:tcW w:type="dxa" w:w="4968"/>
            <w:vAlign w:val="center"/>
          </w:tcPr>
          <w:p>
            <w:pPr>
              <w:spacing w:after="0"/>
            </w:pPr>
            <w:r/>
            <w:r>
              <w:rPr>
                <w:rFonts w:ascii="Aptos" w:hAnsi="Aptos"/>
                <w:b/>
                <w:sz w:val="16"/>
              </w:rPr>
              <w:t>revenue_usd_m</w:t>
            </w:r>
          </w:p>
        </w:tc>
        <w:tc>
          <w:tcPr>
            <w:tcW w:type="dxa" w:w="4968"/>
            <w:vAlign w:val="center"/>
          </w:tcPr>
          <w:p>
            <w:pPr>
              <w:spacing w:after="0"/>
            </w:pPr>
            <w:r/>
            <w:r>
              <w:rPr>
                <w:rFonts w:ascii="Aptos" w:hAnsi="Aptos"/>
                <w:b w:val="0"/>
                <w:sz w:val="16"/>
              </w:rPr>
              <w:t>Revenue converted to USD millions using a documented rate/source.</w:t>
            </w:r>
          </w:p>
        </w:tc>
      </w:tr>
      <w:tr>
        <w:tc>
          <w:tcPr>
            <w:tcW w:type="dxa" w:w="4968"/>
            <w:vAlign w:val="center"/>
          </w:tcPr>
          <w:p>
            <w:pPr>
              <w:spacing w:after="0"/>
            </w:pPr>
            <w:r/>
            <w:r>
              <w:rPr>
                <w:rFonts w:ascii="Aptos" w:hAnsi="Aptos"/>
                <w:b/>
                <w:sz w:val="16"/>
              </w:rPr>
              <w:t>total_emissions_tco2e</w:t>
            </w:r>
          </w:p>
        </w:tc>
        <w:tc>
          <w:tcPr>
            <w:tcW w:type="dxa" w:w="4968"/>
            <w:vAlign w:val="center"/>
          </w:tcPr>
          <w:p>
            <w:pPr>
              <w:spacing w:after="0"/>
            </w:pPr>
            <w:r/>
            <w:r>
              <w:rPr>
                <w:rFonts w:ascii="Aptos" w:hAnsi="Aptos"/>
                <w:b w:val="0"/>
                <w:sz w:val="16"/>
              </w:rPr>
              <w:t>Calculated total; state which scopes are included and avoid double counting.</w:t>
            </w:r>
          </w:p>
        </w:tc>
      </w:tr>
      <w:tr>
        <w:tc>
          <w:tcPr>
            <w:tcW w:type="dxa" w:w="4968"/>
            <w:vAlign w:val="center"/>
          </w:tcPr>
          <w:p>
            <w:pPr>
              <w:spacing w:after="0"/>
            </w:pPr>
            <w:r/>
            <w:r>
              <w:rPr>
                <w:rFonts w:ascii="Aptos" w:hAnsi="Aptos"/>
                <w:b/>
                <w:sz w:val="16"/>
              </w:rPr>
              <w:t>carbon_intensity</w:t>
            </w:r>
          </w:p>
        </w:tc>
        <w:tc>
          <w:tcPr>
            <w:tcW w:type="dxa" w:w="4968"/>
            <w:vAlign w:val="center"/>
          </w:tcPr>
          <w:p>
            <w:pPr>
              <w:spacing w:after="0"/>
            </w:pPr>
            <w:r/>
            <w:r>
              <w:rPr>
                <w:rFonts w:ascii="Aptos" w:hAnsi="Aptos"/>
                <w:b w:val="0"/>
                <w:sz w:val="16"/>
              </w:rPr>
              <w:t>Emissions per revenue unit, with explicit unit in column name or metadata.</w:t>
            </w:r>
          </w:p>
        </w:tc>
      </w:tr>
      <w:tr>
        <w:tc>
          <w:tcPr>
            <w:tcW w:type="dxa" w:w="4968"/>
            <w:vAlign w:val="center"/>
          </w:tcPr>
          <w:p>
            <w:pPr>
              <w:spacing w:after="0"/>
            </w:pPr>
            <w:r/>
            <w:r>
              <w:rPr>
                <w:rFonts w:ascii="Aptos" w:hAnsi="Aptos"/>
                <w:b/>
                <w:sz w:val="16"/>
              </w:rPr>
              <w:t>reporting_boundary</w:t>
            </w:r>
          </w:p>
        </w:tc>
        <w:tc>
          <w:tcPr>
            <w:tcW w:type="dxa" w:w="4968"/>
            <w:vAlign w:val="center"/>
          </w:tcPr>
          <w:p>
            <w:pPr>
              <w:spacing w:after="0"/>
            </w:pPr>
            <w:r/>
            <w:r>
              <w:rPr>
                <w:rFonts w:ascii="Aptos" w:hAnsi="Aptos"/>
                <w:b w:val="0"/>
                <w:sz w:val="16"/>
              </w:rPr>
              <w:t>Organizational boundary and consolidation approach, where disclosed.</w:t>
            </w:r>
          </w:p>
        </w:tc>
      </w:tr>
      <w:tr>
        <w:tc>
          <w:tcPr>
            <w:tcW w:type="dxa" w:w="4968"/>
            <w:vAlign w:val="center"/>
          </w:tcPr>
          <w:p>
            <w:pPr>
              <w:spacing w:after="0"/>
            </w:pPr>
            <w:r/>
            <w:r>
              <w:rPr>
                <w:rFonts w:ascii="Aptos" w:hAnsi="Aptos"/>
                <w:b/>
                <w:sz w:val="16"/>
              </w:rPr>
              <w:t>source_title</w:t>
            </w:r>
          </w:p>
        </w:tc>
        <w:tc>
          <w:tcPr>
            <w:tcW w:type="dxa" w:w="4968"/>
            <w:vAlign w:val="center"/>
          </w:tcPr>
          <w:p>
            <w:pPr>
              <w:spacing w:after="0"/>
            </w:pPr>
            <w:r/>
            <w:r>
              <w:rPr>
                <w:rFonts w:ascii="Aptos" w:hAnsi="Aptos"/>
                <w:b w:val="0"/>
                <w:sz w:val="16"/>
              </w:rPr>
              <w:t>Name of filing or sustainability report.</w:t>
            </w:r>
          </w:p>
        </w:tc>
      </w:tr>
      <w:tr>
        <w:tc>
          <w:tcPr>
            <w:tcW w:type="dxa" w:w="4968"/>
            <w:vAlign w:val="center"/>
          </w:tcPr>
          <w:p>
            <w:pPr>
              <w:spacing w:after="0"/>
            </w:pPr>
            <w:r/>
            <w:r>
              <w:rPr>
                <w:rFonts w:ascii="Aptos" w:hAnsi="Aptos"/>
                <w:b/>
                <w:sz w:val="16"/>
              </w:rPr>
              <w:t>source_url</w:t>
            </w:r>
          </w:p>
        </w:tc>
        <w:tc>
          <w:tcPr>
            <w:tcW w:type="dxa" w:w="4968"/>
            <w:vAlign w:val="center"/>
          </w:tcPr>
          <w:p>
            <w:pPr>
              <w:spacing w:after="0"/>
            </w:pPr>
            <w:r/>
            <w:r>
              <w:rPr>
                <w:rFonts w:ascii="Aptos" w:hAnsi="Aptos"/>
                <w:b w:val="0"/>
                <w:sz w:val="16"/>
              </w:rPr>
              <w:t>URL or accession/document reference.</w:t>
            </w:r>
          </w:p>
        </w:tc>
      </w:tr>
      <w:tr>
        <w:tc>
          <w:tcPr>
            <w:tcW w:type="dxa" w:w="4968"/>
            <w:vAlign w:val="center"/>
          </w:tcPr>
          <w:p>
            <w:pPr>
              <w:spacing w:after="0"/>
            </w:pPr>
            <w:r/>
            <w:r>
              <w:rPr>
                <w:rFonts w:ascii="Aptos" w:hAnsi="Aptos"/>
                <w:b/>
                <w:sz w:val="16"/>
              </w:rPr>
              <w:t>source_page_or_table</w:t>
            </w:r>
          </w:p>
        </w:tc>
        <w:tc>
          <w:tcPr>
            <w:tcW w:type="dxa" w:w="4968"/>
            <w:vAlign w:val="center"/>
          </w:tcPr>
          <w:p>
            <w:pPr>
              <w:spacing w:after="0"/>
            </w:pPr>
            <w:r/>
            <w:r>
              <w:rPr>
                <w:rFonts w:ascii="Aptos" w:hAnsi="Aptos"/>
                <w:b w:val="0"/>
                <w:sz w:val="16"/>
              </w:rPr>
              <w:t>PDF page, table, section, or filing location.</w:t>
            </w:r>
          </w:p>
        </w:tc>
      </w:tr>
      <w:tr>
        <w:tc>
          <w:tcPr>
            <w:tcW w:type="dxa" w:w="4968"/>
            <w:vAlign w:val="center"/>
          </w:tcPr>
          <w:p>
            <w:pPr>
              <w:spacing w:after="0"/>
            </w:pPr>
            <w:r/>
            <w:r>
              <w:rPr>
                <w:rFonts w:ascii="Aptos" w:hAnsi="Aptos"/>
                <w:b/>
                <w:sz w:val="16"/>
              </w:rPr>
              <w:t>assurance_status</w:t>
            </w:r>
          </w:p>
        </w:tc>
        <w:tc>
          <w:tcPr>
            <w:tcW w:type="dxa" w:w="4968"/>
            <w:vAlign w:val="center"/>
          </w:tcPr>
          <w:p>
            <w:pPr>
              <w:spacing w:after="0"/>
            </w:pPr>
            <w:r/>
            <w:r>
              <w:rPr>
                <w:rFonts w:ascii="Aptos" w:hAnsi="Aptos"/>
                <w:b w:val="0"/>
                <w:sz w:val="16"/>
              </w:rPr>
              <w:t>Whether emissions data is externally assured, if stated.</w:t>
            </w:r>
          </w:p>
        </w:tc>
      </w:tr>
      <w:tr>
        <w:tc>
          <w:tcPr>
            <w:tcW w:type="dxa" w:w="4968"/>
            <w:vAlign w:val="center"/>
          </w:tcPr>
          <w:p>
            <w:pPr>
              <w:spacing w:after="0"/>
            </w:pPr>
            <w:r/>
            <w:r>
              <w:rPr>
                <w:rFonts w:ascii="Aptos" w:hAnsi="Aptos"/>
                <w:b/>
                <w:sz w:val="16"/>
              </w:rPr>
              <w:t>data_quality_note</w:t>
            </w:r>
          </w:p>
        </w:tc>
        <w:tc>
          <w:tcPr>
            <w:tcW w:type="dxa" w:w="4968"/>
            <w:vAlign w:val="center"/>
          </w:tcPr>
          <w:p>
            <w:pPr>
              <w:spacing w:after="0"/>
            </w:pPr>
            <w:r/>
            <w:r>
              <w:rPr>
                <w:rFonts w:ascii="Aptos" w:hAnsi="Aptos"/>
                <w:b w:val="0"/>
                <w:sz w:val="16"/>
              </w:rPr>
              <w:t>Extraction/validation notes, assumptions, caveats, or restatement flag.</w:t>
            </w:r>
          </w:p>
        </w:tc>
      </w:tr>
    </w:tbl>
    <w:p>
      <w:pPr>
        <w:pStyle w:val="Heading1"/>
      </w:pPr>
      <w:r>
        <w:t>4. Data Sources and Acquisition</w:t>
      </w:r>
    </w:p>
    <w:p>
      <w:pPr>
        <w:pStyle w:val="Heading2"/>
      </w:pPr>
      <w:r>
        <w:t>4.1 Candidate sources</w:t>
      </w:r>
    </w:p>
    <w:p>
      <w:pPr>
        <w:pStyle w:val="ListBullet"/>
        <w:spacing w:after="40"/>
      </w:pPr>
      <w:r>
        <w:t>Company sustainability / ESG reports: often the most direct source for scope totals, methodology, reporting boundary, and targets.</w:t>
      </w:r>
    </w:p>
    <w:p>
      <w:pPr>
        <w:pStyle w:val="ListBullet"/>
        <w:spacing w:after="40"/>
      </w:pPr>
      <w:r>
        <w:t>SEC EDGAR: regulatory filings and exhibits for applicable US-listed companies. Use official filing endpoints and respect SEC fair-access guidance.</w:t>
      </w:r>
    </w:p>
    <w:p>
      <w:pPr>
        <w:pStyle w:val="ListBullet"/>
        <w:spacing w:after="40"/>
      </w:pPr>
      <w:r>
        <w:t>CDP: environmental disclosure data where access and permitted use are available. Record access conditions and dataset version.</w:t>
      </w:r>
    </w:p>
    <w:p>
      <w:pPr>
        <w:pStyle w:val="ListBullet"/>
        <w:spacing w:after="40"/>
      </w:pPr>
      <w:r>
        <w:t>Company annual reports and investor-relations pages: useful for revenue, fiscal-year definitions, and cross-checking company identifiers.</w:t>
      </w:r>
    </w:p>
    <w:p>
      <w:pPr>
        <w:pStyle w:val="Heading2"/>
      </w:pPr>
      <w:r>
        <w:t>4.2 Source-selection rules</w:t>
      </w:r>
    </w:p>
    <w:p>
      <w:pPr>
        <w:pStyle w:val="ListNumber"/>
        <w:spacing w:after="60"/>
      </w:pPr>
      <w:r>
        <w:t>Prioritize primary company disclosures and official regulatory filings over third-party summaries.</w:t>
      </w:r>
    </w:p>
    <w:p>
      <w:pPr>
        <w:pStyle w:val="ListNumber"/>
        <w:spacing w:after="60"/>
      </w:pPr>
      <w:r>
        <w:t>Use a consistent reporting window across companies where feasible; record gaps rather than silently filling them.</w:t>
      </w:r>
    </w:p>
    <w:p>
      <w:pPr>
        <w:pStyle w:val="ListNumber"/>
        <w:spacing w:after="60"/>
      </w:pPr>
      <w:r>
        <w:t>Capture the publication date, reporting year, source URL, document title, and page/table reference for every extracted value.</w:t>
      </w:r>
    </w:p>
    <w:p>
      <w:pPr>
        <w:pStyle w:val="ListNumber"/>
        <w:spacing w:after="60"/>
      </w:pPr>
      <w:r>
        <w:t>When multiple values conflict, retain the source-specific values and document the reconciliation decision; do not overwrite without an audit trail.</w:t>
      </w:r>
    </w:p>
    <w:p>
      <w:pPr>
        <w:pStyle w:val="Heading1"/>
      </w:pPr>
      <w:r>
        <w:t>5. Extraction Workflow</w:t>
      </w:r>
    </w:p>
    <w:p>
      <w:pPr>
        <w:pStyle w:val="Heading2"/>
      </w:pPr>
      <w:r>
        <w:t>5.1 API and web retrieval</w:t>
      </w:r>
    </w:p>
    <w:p>
      <w:pPr>
        <w:pStyle w:val="ListBullet"/>
        <w:spacing w:after="40"/>
      </w:pPr>
      <w:r>
        <w:t>Use Python requests for permitted API or public filing retrieval; parse structured responses with json and pandas.</w:t>
      </w:r>
    </w:p>
    <w:p>
      <w:pPr>
        <w:pStyle w:val="ListBullet"/>
        <w:spacing w:after="40"/>
      </w:pPr>
      <w:r>
        <w:t>For SEC data, identify the registrant, retrieve filing metadata, and inspect relevant filing documents or exhibits. Emissions may not be available as a standardized structured field.</w:t>
      </w:r>
    </w:p>
    <w:p>
      <w:pPr>
        <w:pStyle w:val="ListBullet"/>
        <w:spacing w:after="40"/>
      </w:pPr>
      <w:r>
        <w:t>Store raw responses and downloaded source documents in a dated raw-data directory. Keep retrieval timestamps and source identifiers.</w:t>
      </w:r>
    </w:p>
    <w:p>
      <w:pPr>
        <w:pStyle w:val="Heading2"/>
      </w:pPr>
      <w:r>
        <w:t>5.2 PDF report extraction</w:t>
      </w:r>
    </w:p>
    <w:p>
      <w:pPr>
        <w:pStyle w:val="ListBullet"/>
        <w:spacing w:after="40"/>
      </w:pPr>
      <w:r>
        <w:t>Use pdfplumber for text and table inspection; use tabula-py where table geometry is suitable and Java is available.</w:t>
      </w:r>
    </w:p>
    <w:p>
      <w:pPr>
        <w:pStyle w:val="ListBullet"/>
        <w:spacing w:after="40"/>
      </w:pPr>
      <w:r>
        <w:t>Extract candidate tables, then manually verify headers, units, reporting period, scope definitions, and footnotes against the rendered page.</w:t>
      </w:r>
    </w:p>
    <w:p>
      <w:pPr>
        <w:pStyle w:val="ListBullet"/>
        <w:spacing w:after="40"/>
      </w:pPr>
      <w:r>
        <w:t>For scanned/image-only PDFs, use OCR as an additional step and mark OCR-derived values for manual review.</w:t>
      </w:r>
    </w:p>
    <w:p>
      <w:pPr>
        <w:pStyle w:val="ListBullet"/>
        <w:spacing w:after="40"/>
      </w:pPr>
      <w:r>
        <w:t>Do not assume that a table’s “emissions” total includes all scopes; inspect the accompanying notes and boundary statements.</w:t>
      </w:r>
    </w:p>
    <w:p>
      <w:pPr>
        <w:pStyle w:val="Heading2"/>
      </w:pPr>
      <w:r>
        <w:t>5.3 Suggested notebook organization</w:t>
      </w:r>
    </w:p>
    <w:p>
      <w:pPr>
        <w:pStyle w:val="ListBullet"/>
        <w:spacing w:after="40"/>
      </w:pPr>
      <w:r>
        <w:t>01_source_inventory.ipynb — company list, reporting years, source URLs, access notes, and coverage matrix.</w:t>
      </w:r>
    </w:p>
    <w:p>
      <w:pPr>
        <w:pStyle w:val="ListBullet"/>
        <w:spacing w:after="40"/>
      </w:pPr>
      <w:r>
        <w:t>02_api_collection.ipynb — SEC/API retrieval, metadata parsing, raw response storage, and retrieval logs.</w:t>
      </w:r>
    </w:p>
    <w:p>
      <w:pPr>
        <w:pStyle w:val="ListBullet"/>
        <w:spacing w:after="40"/>
      </w:pPr>
      <w:r>
        <w:t>03_pdf_extraction.ipynb — report download, table/text extraction, field mapping, and manual verification queue.</w:t>
      </w:r>
    </w:p>
    <w:p>
      <w:pPr>
        <w:pStyle w:val="ListBullet"/>
        <w:spacing w:after="40"/>
      </w:pPr>
      <w:r>
        <w:t>04_clean_integrate_validate.ipynb — harmonization, deduplication, unit conversion, quality checks, intensity calculation, and CSV export.</w:t>
      </w:r>
    </w:p>
    <w:p>
      <w:pPr>
        <w:pStyle w:val="Heading1"/>
      </w:pPr>
      <w:r>
        <w:t>6. Cleaning, Harmonization, and Calculations</w:t>
      </w:r>
    </w:p>
    <w:p>
      <w:pPr>
        <w:pStyle w:val="ListBullet"/>
        <w:spacing w:after="40"/>
      </w:pPr>
      <w:r>
        <w:t>Units: convert emissions to tCO₂e while retaining the original reported value and unit in raw/source data.</w:t>
      </w:r>
    </w:p>
    <w:p>
      <w:pPr>
        <w:pStyle w:val="ListBullet"/>
        <w:spacing w:after="40"/>
      </w:pPr>
      <w:r>
        <w:t>Scopes: preserve Scope 2 location-based and market-based values separately when both are reported. Do not add them together.</w:t>
      </w:r>
    </w:p>
    <w:p>
      <w:pPr>
        <w:pStyle w:val="ListBullet"/>
        <w:spacing w:after="40"/>
      </w:pPr>
      <w:r>
        <w:t>Scope 3: distinguish a reported zero from “not disclosed,” “not applicable,” or “not estimated.” Represent missing values as null/blank with a reason code.</w:t>
      </w:r>
    </w:p>
    <w:p>
      <w:pPr>
        <w:pStyle w:val="ListBullet"/>
        <w:spacing w:after="40"/>
      </w:pPr>
      <w:r>
        <w:t>Time alignment: align emissions and revenue to the same reporting period and document fiscal-year differences.</w:t>
      </w:r>
    </w:p>
    <w:p>
      <w:pPr>
        <w:pStyle w:val="ListBullet"/>
        <w:spacing w:after="40"/>
      </w:pPr>
      <w:r>
        <w:t>Currency: preserve the reported currency; if converting revenue, document the exchange-rate source, date convention, and conversion formula.</w:t>
      </w:r>
    </w:p>
    <w:p>
      <w:pPr>
        <w:pStyle w:val="ListBullet"/>
        <w:spacing w:after="40"/>
      </w:pPr>
      <w:r>
        <w:t>Restatements: retain original and restated values or flag the selected latest value with source/version metadata.</w:t>
      </w:r>
    </w:p>
    <w:p>
      <w:pPr>
        <w:pStyle w:val="ListBullet"/>
        <w:spacing w:after="40"/>
      </w:pPr>
      <w:r>
        <w:t>Deduplication: use company identifier + reporting year + metric + reporting boundary + source/version as a starting key; resolve duplicates with an explicit rule.</w:t>
      </w:r>
    </w:p>
    <w:p>
      <w:pPr>
        <w:pStyle w:val="Heading2"/>
      </w:pPr>
      <w:r>
        <w:t>6.1 Carbon intensity</w:t>
      </w:r>
    </w:p>
    <w:p>
      <w:r>
        <w:t>Example formula: carbon intensity (tCO₂e per USD million revenue) = total included emissions (tCO₂e) ÷ revenue (USD millions).</w:t>
      </w:r>
    </w:p>
    <w:p>
      <w:r>
        <w:t>Example only: 170,000 tCO₂e ÷ USD 10,000 million = 17 tCO₂e per USD million. The dataset must state whether the numerator includes Scopes 1–2 only or Scopes 1–3, because the choice materially changes comparability.</w:t>
      </w:r>
    </w:p>
    <w:p>
      <w:pPr>
        <w:pStyle w:val="Heading1"/>
      </w:pPr>
      <w:r>
        <w:t>7. Data Quality and Validation</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2304A"/>
          </w:tcPr>
          <w:p>
            <w:pPr>
              <w:spacing w:after="0"/>
            </w:pPr>
            <w:r/>
            <w:r>
              <w:rPr>
                <w:rFonts w:ascii="Aptos" w:hAnsi="Aptos"/>
                <w:b/>
                <w:color w:val="FFFFFF"/>
                <w:sz w:val="18"/>
              </w:rPr>
              <w:t>Check</w:t>
            </w:r>
          </w:p>
        </w:tc>
        <w:tc>
          <w:tcPr>
            <w:tcW w:type="dxa" w:w="4968"/>
            <w:vAlign w:val="center"/>
            <w:shd w:fill="12304A"/>
          </w:tcPr>
          <w:p>
            <w:pPr>
              <w:spacing w:after="0"/>
            </w:pPr>
            <w:r/>
            <w:r>
              <w:rPr>
                <w:rFonts w:ascii="Aptos" w:hAnsi="Aptos"/>
                <w:b/>
                <w:color w:val="FFFFFF"/>
                <w:sz w:val="18"/>
              </w:rPr>
              <w:t>What to verify</w:t>
            </w:r>
          </w:p>
        </w:tc>
      </w:tr>
      <w:tr>
        <w:tc>
          <w:tcPr>
            <w:tcW w:type="dxa" w:w="4968"/>
            <w:vAlign w:val="center"/>
          </w:tcPr>
          <w:p>
            <w:pPr>
              <w:spacing w:after="0"/>
            </w:pPr>
            <w:r/>
            <w:r>
              <w:rPr>
                <w:rFonts w:ascii="Aptos" w:hAnsi="Aptos"/>
                <w:b/>
                <w:sz w:val="18"/>
              </w:rPr>
              <w:t>Completeness</w:t>
            </w:r>
          </w:p>
        </w:tc>
        <w:tc>
          <w:tcPr>
            <w:tcW w:type="dxa" w:w="4968"/>
            <w:vAlign w:val="center"/>
          </w:tcPr>
          <w:p>
            <w:pPr>
              <w:spacing w:after="0"/>
            </w:pPr>
            <w:r/>
            <w:r>
              <w:rPr>
                <w:rFonts w:ascii="Aptos" w:hAnsi="Aptos"/>
                <w:b w:val="0"/>
                <w:sz w:val="18"/>
              </w:rPr>
              <w:t>Measure coverage by company, year, scope, and source; report missingness explicitly.</w:t>
            </w:r>
          </w:p>
        </w:tc>
      </w:tr>
      <w:tr>
        <w:tc>
          <w:tcPr>
            <w:tcW w:type="dxa" w:w="4968"/>
            <w:vAlign w:val="center"/>
          </w:tcPr>
          <w:p>
            <w:pPr>
              <w:spacing w:after="0"/>
            </w:pPr>
            <w:r/>
            <w:r>
              <w:rPr>
                <w:rFonts w:ascii="Aptos" w:hAnsi="Aptos"/>
                <w:b/>
                <w:sz w:val="18"/>
              </w:rPr>
              <w:t>Validity</w:t>
            </w:r>
          </w:p>
        </w:tc>
        <w:tc>
          <w:tcPr>
            <w:tcW w:type="dxa" w:w="4968"/>
            <w:vAlign w:val="center"/>
          </w:tcPr>
          <w:p>
            <w:pPr>
              <w:spacing w:after="0"/>
            </w:pPr>
            <w:r/>
            <w:r>
              <w:rPr>
                <w:rFonts w:ascii="Aptos" w:hAnsi="Aptos"/>
                <w:b w:val="0"/>
                <w:sz w:val="18"/>
              </w:rPr>
              <w:t>Check numeric types, non-negative values where appropriate, plausible units, and valid reporting years.</w:t>
            </w:r>
          </w:p>
        </w:tc>
      </w:tr>
      <w:tr>
        <w:tc>
          <w:tcPr>
            <w:tcW w:type="dxa" w:w="4968"/>
            <w:vAlign w:val="center"/>
          </w:tcPr>
          <w:p>
            <w:pPr>
              <w:spacing w:after="0"/>
            </w:pPr>
            <w:r/>
            <w:r>
              <w:rPr>
                <w:rFonts w:ascii="Aptos" w:hAnsi="Aptos"/>
                <w:b/>
                <w:sz w:val="18"/>
              </w:rPr>
              <w:t>Consistency</w:t>
            </w:r>
          </w:p>
        </w:tc>
        <w:tc>
          <w:tcPr>
            <w:tcW w:type="dxa" w:w="4968"/>
            <w:vAlign w:val="center"/>
          </w:tcPr>
          <w:p>
            <w:pPr>
              <w:spacing w:after="0"/>
            </w:pPr>
            <w:r/>
            <w:r>
              <w:rPr>
                <w:rFonts w:ascii="Aptos" w:hAnsi="Aptos"/>
                <w:b w:val="0"/>
                <w:sz w:val="18"/>
              </w:rPr>
              <w:t>Check whether units, organizational boundaries, and Scope 2 methods are comparable across years.</w:t>
            </w:r>
          </w:p>
        </w:tc>
      </w:tr>
      <w:tr>
        <w:tc>
          <w:tcPr>
            <w:tcW w:type="dxa" w:w="4968"/>
            <w:vAlign w:val="center"/>
          </w:tcPr>
          <w:p>
            <w:pPr>
              <w:spacing w:after="0"/>
            </w:pPr>
            <w:r/>
            <w:r>
              <w:rPr>
                <w:rFonts w:ascii="Aptos" w:hAnsi="Aptos"/>
                <w:b/>
                <w:sz w:val="18"/>
              </w:rPr>
              <w:t>Reconciliation</w:t>
            </w:r>
          </w:p>
        </w:tc>
        <w:tc>
          <w:tcPr>
            <w:tcW w:type="dxa" w:w="4968"/>
            <w:vAlign w:val="center"/>
          </w:tcPr>
          <w:p>
            <w:pPr>
              <w:spacing w:after="0"/>
            </w:pPr>
            <w:r/>
            <w:r>
              <w:rPr>
                <w:rFonts w:ascii="Aptos" w:hAnsi="Aptos"/>
                <w:b w:val="0"/>
                <w:sz w:val="18"/>
              </w:rPr>
              <w:t>Compare extracted figures with the source page and, where available, a second official disclosure.</w:t>
            </w:r>
          </w:p>
        </w:tc>
      </w:tr>
      <w:tr>
        <w:tc>
          <w:tcPr>
            <w:tcW w:type="dxa" w:w="4968"/>
            <w:vAlign w:val="center"/>
          </w:tcPr>
          <w:p>
            <w:pPr>
              <w:spacing w:after="0"/>
            </w:pPr>
            <w:r/>
            <w:r>
              <w:rPr>
                <w:rFonts w:ascii="Aptos" w:hAnsi="Aptos"/>
                <w:b/>
                <w:sz w:val="18"/>
              </w:rPr>
              <w:t>Traceability</w:t>
            </w:r>
          </w:p>
        </w:tc>
        <w:tc>
          <w:tcPr>
            <w:tcW w:type="dxa" w:w="4968"/>
            <w:vAlign w:val="center"/>
          </w:tcPr>
          <w:p>
            <w:pPr>
              <w:spacing w:after="0"/>
            </w:pPr>
            <w:r/>
            <w:r>
              <w:rPr>
                <w:rFonts w:ascii="Aptos" w:hAnsi="Aptos"/>
                <w:b w:val="0"/>
                <w:sz w:val="18"/>
              </w:rPr>
              <w:t>Require a source reference and extraction note for every populated emissions/revenue value.</w:t>
            </w:r>
          </w:p>
        </w:tc>
      </w:tr>
      <w:tr>
        <w:tc>
          <w:tcPr>
            <w:tcW w:type="dxa" w:w="4968"/>
            <w:vAlign w:val="center"/>
          </w:tcPr>
          <w:p>
            <w:pPr>
              <w:spacing w:after="0"/>
            </w:pPr>
            <w:r/>
            <w:r>
              <w:rPr>
                <w:rFonts w:ascii="Aptos" w:hAnsi="Aptos"/>
                <w:b/>
                <w:sz w:val="18"/>
              </w:rPr>
              <w:t>Review</w:t>
            </w:r>
          </w:p>
        </w:tc>
        <w:tc>
          <w:tcPr>
            <w:tcW w:type="dxa" w:w="4968"/>
            <w:vAlign w:val="center"/>
          </w:tcPr>
          <w:p>
            <w:pPr>
              <w:spacing w:after="0"/>
            </w:pPr>
            <w:r/>
            <w:r>
              <w:rPr>
                <w:rFonts w:ascii="Aptos" w:hAnsi="Aptos"/>
                <w:b w:val="0"/>
                <w:sz w:val="18"/>
              </w:rPr>
              <w:t>Manually inspect a sample of records and all low-confidence, OCR-derived, or conflicting values.</w:t>
            </w:r>
          </w:p>
        </w:tc>
      </w:tr>
    </w:tbl>
    <w:p>
      <w:pPr>
        <w:pStyle w:val="Heading1"/>
      </w:pPr>
      <w:r>
        <w:t>8. Expected Deliverable 1 Outputs</w:t>
      </w:r>
    </w:p>
    <w:p>
      <w:pPr>
        <w:pStyle w:val="ListBullet"/>
        <w:spacing w:after="40"/>
      </w:pPr>
      <w:r>
        <w:t>company_emissions.csv — standardized company-year dataset.</w:t>
      </w:r>
    </w:p>
    <w:p>
      <w:pPr>
        <w:pStyle w:val="ListBullet"/>
        <w:spacing w:after="40"/>
      </w:pPr>
      <w:r>
        <w:t>raw/ — source PDFs, API responses, and retrieval metadata, subject to source terms and storage permissions.</w:t>
      </w:r>
    </w:p>
    <w:p>
      <w:pPr>
        <w:pStyle w:val="ListBullet"/>
        <w:spacing w:after="40"/>
      </w:pPr>
      <w:r>
        <w:t>notebooks/ — reproducible API, PDF extraction, and cleaning/integration notebooks.</w:t>
      </w:r>
    </w:p>
    <w:p>
      <w:pPr>
        <w:pStyle w:val="ListBullet"/>
        <w:spacing w:after="40"/>
      </w:pPr>
      <w:r>
        <w:t>data_dictionary.md or .pdf — field definitions, units, null conventions, and calculation rules.</w:t>
      </w:r>
    </w:p>
    <w:p>
      <w:pPr>
        <w:pStyle w:val="ListBullet"/>
        <w:spacing w:after="40"/>
      </w:pPr>
      <w:r>
        <w:t>extraction_methodology.md or .pdf — sources, retrieval steps, tools, validation process, and limitations.</w:t>
      </w:r>
    </w:p>
    <w:p>
      <w:pPr>
        <w:pStyle w:val="ListBullet"/>
        <w:spacing w:after="40"/>
      </w:pPr>
      <w:r>
        <w:t>coverage_and_quality_report.csv or .pdf — company/year coverage, missingness, review flags, and validation outcomes.</w:t>
      </w:r>
    </w:p>
    <w:p>
      <w:pPr>
        <w:pStyle w:val="Heading1"/>
      </w:pPr>
      <w:r>
        <w:t>9. Suggested Project Directory</w:t>
      </w:r>
    </w:p>
    <w:p>
      <w:pPr>
        <w:ind w:left="288"/>
      </w:pPr>
      <w:r>
        <w:rPr>
          <w:rFonts w:ascii="Consolas" w:hAnsi="Consolas"/>
          <w:sz w:val="18"/>
        </w:rPr>
        <w:t>corporate-carbon-tracker/\n├── data/\n│   ├── raw/\n│   ├── interim/\n│   └── processed/company_emissions.csv\n├── notebooks/\n│   ├── 01_source_inventory.ipynb\n│   ├── 02_api_collection.ipynb\n│   ├── 03_pdf_extraction.ipynb\n│   └── 04_clean_integrate_validate.ipynb\n├── docs/\n│   ├── data_dictionary.md\n│   ├── extraction_methodology.md\n│   └── data_quality_report.md\n└── README.md</w:t>
      </w:r>
    </w:p>
    <w:p>
      <w:pPr>
        <w:pStyle w:val="Heading1"/>
      </w:pPr>
      <w:r>
        <w:t>10. Implementation Plan and Completion Criteria</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2304A"/>
          </w:tcPr>
          <w:p>
            <w:pPr>
              <w:spacing w:after="0"/>
            </w:pPr>
            <w:r/>
            <w:r>
              <w:rPr>
                <w:rFonts w:ascii="Aptos" w:hAnsi="Aptos"/>
                <w:b/>
                <w:color w:val="FFFFFF"/>
                <w:sz w:val="16"/>
              </w:rPr>
              <w:t>Phase</w:t>
            </w:r>
          </w:p>
        </w:tc>
        <w:tc>
          <w:tcPr>
            <w:tcW w:type="dxa" w:w="3312"/>
            <w:vAlign w:val="center"/>
            <w:shd w:fill="12304A"/>
          </w:tcPr>
          <w:p>
            <w:pPr>
              <w:spacing w:after="0"/>
            </w:pPr>
            <w:r/>
            <w:r>
              <w:rPr>
                <w:rFonts w:ascii="Aptos" w:hAnsi="Aptos"/>
                <w:b/>
                <w:color w:val="FFFFFF"/>
                <w:sz w:val="16"/>
              </w:rPr>
              <w:t>Activities</w:t>
            </w:r>
          </w:p>
        </w:tc>
        <w:tc>
          <w:tcPr>
            <w:tcW w:type="dxa" w:w="3312"/>
            <w:vAlign w:val="center"/>
            <w:shd w:fill="12304A"/>
          </w:tcPr>
          <w:p>
            <w:pPr>
              <w:spacing w:after="0"/>
            </w:pPr>
            <w:r/>
            <w:r>
              <w:rPr>
                <w:rFonts w:ascii="Aptos" w:hAnsi="Aptos"/>
                <w:b/>
                <w:color w:val="FFFFFF"/>
                <w:sz w:val="16"/>
              </w:rPr>
              <w:t>Completion evidence</w:t>
            </w:r>
          </w:p>
        </w:tc>
      </w:tr>
      <w:tr>
        <w:tc>
          <w:tcPr>
            <w:tcW w:type="dxa" w:w="3312"/>
            <w:vAlign w:val="center"/>
          </w:tcPr>
          <w:p>
            <w:pPr>
              <w:spacing w:after="0"/>
            </w:pPr>
            <w:r/>
            <w:r>
              <w:rPr>
                <w:rFonts w:ascii="Aptos" w:hAnsi="Aptos"/>
                <w:b/>
                <w:sz w:val="16"/>
              </w:rPr>
              <w:t>Phase 1 — Define scope</w:t>
            </w:r>
          </w:p>
        </w:tc>
        <w:tc>
          <w:tcPr>
            <w:tcW w:type="dxa" w:w="3312"/>
            <w:vAlign w:val="center"/>
          </w:tcPr>
          <w:p>
            <w:pPr>
              <w:spacing w:after="0"/>
            </w:pPr>
            <w:r/>
            <w:r>
              <w:rPr>
                <w:rFonts w:ascii="Aptos" w:hAnsi="Aptos"/>
                <w:b w:val="0"/>
                <w:sz w:val="16"/>
              </w:rPr>
              <w:t>Choose companies, sectors, years, identifiers, and inclusion criteria.</w:t>
            </w:r>
          </w:p>
        </w:tc>
        <w:tc>
          <w:tcPr>
            <w:tcW w:type="dxa" w:w="3312"/>
            <w:vAlign w:val="center"/>
          </w:tcPr>
          <w:p>
            <w:pPr>
              <w:spacing w:after="0"/>
            </w:pPr>
            <w:r/>
            <w:r>
              <w:rPr>
                <w:rFonts w:ascii="Aptos" w:hAnsi="Aptos"/>
                <w:b w:val="0"/>
                <w:sz w:val="16"/>
              </w:rPr>
              <w:t>Approved source/coverage inventory.</w:t>
            </w:r>
          </w:p>
        </w:tc>
      </w:tr>
      <w:tr>
        <w:tc>
          <w:tcPr>
            <w:tcW w:type="dxa" w:w="3312"/>
            <w:vAlign w:val="center"/>
          </w:tcPr>
          <w:p>
            <w:pPr>
              <w:spacing w:after="0"/>
            </w:pPr>
            <w:r/>
            <w:r>
              <w:rPr>
                <w:rFonts w:ascii="Aptos" w:hAnsi="Aptos"/>
                <w:b/>
                <w:sz w:val="16"/>
              </w:rPr>
              <w:t>Phase 2 — Acquire sources</w:t>
            </w:r>
          </w:p>
        </w:tc>
        <w:tc>
          <w:tcPr>
            <w:tcW w:type="dxa" w:w="3312"/>
            <w:vAlign w:val="center"/>
          </w:tcPr>
          <w:p>
            <w:pPr>
              <w:spacing w:after="0"/>
            </w:pPr>
            <w:r/>
            <w:r>
              <w:rPr>
                <w:rFonts w:ascii="Aptos" w:hAnsi="Aptos"/>
                <w:b w:val="0"/>
                <w:sz w:val="16"/>
              </w:rPr>
              <w:t>Collect permitted filings and reports; log URLs, dates, and access notes.</w:t>
            </w:r>
          </w:p>
        </w:tc>
        <w:tc>
          <w:tcPr>
            <w:tcW w:type="dxa" w:w="3312"/>
            <w:vAlign w:val="center"/>
          </w:tcPr>
          <w:p>
            <w:pPr>
              <w:spacing w:after="0"/>
            </w:pPr>
            <w:r/>
            <w:r>
              <w:rPr>
                <w:rFonts w:ascii="Aptos" w:hAnsi="Aptos"/>
                <w:b w:val="0"/>
                <w:sz w:val="16"/>
              </w:rPr>
              <w:t>Raw source register and reproducible retrieval notebook.</w:t>
            </w:r>
          </w:p>
        </w:tc>
      </w:tr>
      <w:tr>
        <w:tc>
          <w:tcPr>
            <w:tcW w:type="dxa" w:w="3312"/>
            <w:vAlign w:val="center"/>
          </w:tcPr>
          <w:p>
            <w:pPr>
              <w:spacing w:after="0"/>
            </w:pPr>
            <w:r/>
            <w:r>
              <w:rPr>
                <w:rFonts w:ascii="Aptos" w:hAnsi="Aptos"/>
                <w:b/>
                <w:sz w:val="16"/>
              </w:rPr>
              <w:t>Phase 3 — Extract values</w:t>
            </w:r>
          </w:p>
        </w:tc>
        <w:tc>
          <w:tcPr>
            <w:tcW w:type="dxa" w:w="3312"/>
            <w:vAlign w:val="center"/>
          </w:tcPr>
          <w:p>
            <w:pPr>
              <w:spacing w:after="0"/>
            </w:pPr>
            <w:r/>
            <w:r>
              <w:rPr>
                <w:rFonts w:ascii="Aptos" w:hAnsi="Aptos"/>
                <w:b w:val="0"/>
                <w:sz w:val="16"/>
              </w:rPr>
              <w:t>Extract emissions, revenue, years, units, boundaries, and references.</w:t>
            </w:r>
          </w:p>
        </w:tc>
        <w:tc>
          <w:tcPr>
            <w:tcW w:type="dxa" w:w="3312"/>
            <w:vAlign w:val="center"/>
          </w:tcPr>
          <w:p>
            <w:pPr>
              <w:spacing w:after="0"/>
            </w:pPr>
            <w:r/>
            <w:r>
              <w:rPr>
                <w:rFonts w:ascii="Aptos" w:hAnsi="Aptos"/>
                <w:b w:val="0"/>
                <w:sz w:val="16"/>
              </w:rPr>
              <w:t>Structured raw extraction table plus review flags.</w:t>
            </w:r>
          </w:p>
        </w:tc>
      </w:tr>
      <w:tr>
        <w:tc>
          <w:tcPr>
            <w:tcW w:type="dxa" w:w="3312"/>
            <w:vAlign w:val="center"/>
          </w:tcPr>
          <w:p>
            <w:pPr>
              <w:spacing w:after="0"/>
            </w:pPr>
            <w:r/>
            <w:r>
              <w:rPr>
                <w:rFonts w:ascii="Aptos" w:hAnsi="Aptos"/>
                <w:b/>
                <w:sz w:val="16"/>
              </w:rPr>
              <w:t>Phase 4 — Clean and validate</w:t>
            </w:r>
          </w:p>
        </w:tc>
        <w:tc>
          <w:tcPr>
            <w:tcW w:type="dxa" w:w="3312"/>
            <w:vAlign w:val="center"/>
          </w:tcPr>
          <w:p>
            <w:pPr>
              <w:spacing w:after="0"/>
            </w:pPr>
            <w:r/>
            <w:r>
              <w:rPr>
                <w:rFonts w:ascii="Aptos" w:hAnsi="Aptos"/>
                <w:b w:val="0"/>
                <w:sz w:val="16"/>
              </w:rPr>
              <w:t>Normalize fields/units, resolve duplicates, inspect conflicts, and calculate intensity.</w:t>
            </w:r>
          </w:p>
        </w:tc>
        <w:tc>
          <w:tcPr>
            <w:tcW w:type="dxa" w:w="3312"/>
            <w:vAlign w:val="center"/>
          </w:tcPr>
          <w:p>
            <w:pPr>
              <w:spacing w:after="0"/>
            </w:pPr>
            <w:r/>
            <w:r>
              <w:rPr>
                <w:rFonts w:ascii="Aptos" w:hAnsi="Aptos"/>
                <w:b w:val="0"/>
                <w:sz w:val="16"/>
              </w:rPr>
              <w:t>Validated company-year dataset and quality summary.</w:t>
            </w:r>
          </w:p>
        </w:tc>
      </w:tr>
      <w:tr>
        <w:tc>
          <w:tcPr>
            <w:tcW w:type="dxa" w:w="3312"/>
            <w:vAlign w:val="center"/>
          </w:tcPr>
          <w:p>
            <w:pPr>
              <w:spacing w:after="0"/>
            </w:pPr>
            <w:r/>
            <w:r>
              <w:rPr>
                <w:rFonts w:ascii="Aptos" w:hAnsi="Aptos"/>
                <w:b/>
                <w:sz w:val="16"/>
              </w:rPr>
              <w:t>Phase 5 — Document and hand off</w:t>
            </w:r>
          </w:p>
        </w:tc>
        <w:tc>
          <w:tcPr>
            <w:tcW w:type="dxa" w:w="3312"/>
            <w:vAlign w:val="center"/>
          </w:tcPr>
          <w:p>
            <w:pPr>
              <w:spacing w:after="0"/>
            </w:pPr>
            <w:r/>
            <w:r>
              <w:rPr>
                <w:rFonts w:ascii="Aptos" w:hAnsi="Aptos"/>
                <w:b w:val="0"/>
                <w:sz w:val="16"/>
              </w:rPr>
              <w:t>Write methods, data dictionary, limitations, and run instructions.</w:t>
            </w:r>
          </w:p>
        </w:tc>
        <w:tc>
          <w:tcPr>
            <w:tcW w:type="dxa" w:w="3312"/>
            <w:vAlign w:val="center"/>
          </w:tcPr>
          <w:p>
            <w:pPr>
              <w:spacing w:after="0"/>
            </w:pPr>
            <w:r/>
            <w:r>
              <w:rPr>
                <w:rFonts w:ascii="Aptos" w:hAnsi="Aptos"/>
                <w:b w:val="0"/>
                <w:sz w:val="16"/>
              </w:rPr>
              <w:t>All files listed in Section 8; dataset ready for Deliverable 2.</w:t>
            </w:r>
          </w:p>
        </w:tc>
      </w:tr>
    </w:tbl>
    <w:p>
      <w:pPr>
        <w:pStyle w:val="Heading1"/>
      </w:pPr>
      <w:r>
        <w:t>11. Key Risks and Mitigations</w:t>
      </w:r>
    </w:p>
    <w:tbl>
      <w:tblPr>
        <w:tblStyle w:val="LightShading-Accent1"/>
        <w:tblW w:type="auto" w:w="0"/>
        <w:tblLook w:firstColumn="1" w:firstRow="1" w:lastColumn="0" w:lastRow="0" w:noHBand="0" w:noVBand="1" w:val="04A0"/>
      </w:tblPr>
      <w:tblGrid>
        <w:gridCol w:w="4968"/>
        <w:gridCol w:w="4968"/>
      </w:tblGrid>
      <w:tr>
        <w:tc>
          <w:tcPr>
            <w:tcW w:type="dxa" w:w="4968"/>
            <w:vAlign w:val="center"/>
            <w:shd w:fill="12304A"/>
          </w:tcPr>
          <w:p>
            <w:pPr>
              <w:spacing w:after="0"/>
            </w:pPr>
            <w:r/>
            <w:r>
              <w:rPr>
                <w:rFonts w:ascii="Aptos" w:hAnsi="Aptos"/>
                <w:b/>
                <w:color w:val="FFFFFF"/>
                <w:sz w:val="18"/>
              </w:rPr>
              <w:t>Risk</w:t>
            </w:r>
          </w:p>
        </w:tc>
        <w:tc>
          <w:tcPr>
            <w:tcW w:type="dxa" w:w="4968"/>
            <w:vAlign w:val="center"/>
            <w:shd w:fill="12304A"/>
          </w:tcPr>
          <w:p>
            <w:pPr>
              <w:spacing w:after="0"/>
            </w:pPr>
            <w:r/>
            <w:r>
              <w:rPr>
                <w:rFonts w:ascii="Aptos" w:hAnsi="Aptos"/>
                <w:b/>
                <w:color w:val="FFFFFF"/>
                <w:sz w:val="18"/>
              </w:rPr>
              <w:t>Mitigation</w:t>
            </w:r>
          </w:p>
        </w:tc>
      </w:tr>
      <w:tr>
        <w:tc>
          <w:tcPr>
            <w:tcW w:type="dxa" w:w="4968"/>
            <w:vAlign w:val="center"/>
          </w:tcPr>
          <w:p>
            <w:pPr>
              <w:spacing w:after="0"/>
            </w:pPr>
            <w:r/>
            <w:r>
              <w:rPr>
                <w:rFonts w:ascii="Aptos" w:hAnsi="Aptos"/>
                <w:b/>
                <w:sz w:val="18"/>
              </w:rPr>
              <w:t>Inconsistent disclosure standards</w:t>
            </w:r>
          </w:p>
        </w:tc>
        <w:tc>
          <w:tcPr>
            <w:tcW w:type="dxa" w:w="4968"/>
            <w:vAlign w:val="center"/>
          </w:tcPr>
          <w:p>
            <w:pPr>
              <w:spacing w:after="0"/>
            </w:pPr>
            <w:r/>
            <w:r>
              <w:rPr>
                <w:rFonts w:ascii="Aptos" w:hAnsi="Aptos"/>
                <w:b w:val="0"/>
                <w:sz w:val="18"/>
              </w:rPr>
              <w:t>Store methodology/boundary metadata and avoid unqualified cross-company comparisons.</w:t>
            </w:r>
          </w:p>
        </w:tc>
      </w:tr>
      <w:tr>
        <w:tc>
          <w:tcPr>
            <w:tcW w:type="dxa" w:w="4968"/>
            <w:vAlign w:val="center"/>
          </w:tcPr>
          <w:p>
            <w:pPr>
              <w:spacing w:after="0"/>
            </w:pPr>
            <w:r/>
            <w:r>
              <w:rPr>
                <w:rFonts w:ascii="Aptos" w:hAnsi="Aptos"/>
                <w:b/>
                <w:sz w:val="18"/>
              </w:rPr>
              <w:t>Missing Scope 3 figures</w:t>
            </w:r>
          </w:p>
        </w:tc>
        <w:tc>
          <w:tcPr>
            <w:tcW w:type="dxa" w:w="4968"/>
            <w:vAlign w:val="center"/>
          </w:tcPr>
          <w:p>
            <w:pPr>
              <w:spacing w:after="0"/>
            </w:pPr>
            <w:r/>
            <w:r>
              <w:rPr>
                <w:rFonts w:ascii="Aptos" w:hAnsi="Aptos"/>
                <w:b w:val="0"/>
                <w:sz w:val="18"/>
              </w:rPr>
              <w:t>Keep nulls with reason codes; report coverage and avoid imputing as zero.</w:t>
            </w:r>
          </w:p>
        </w:tc>
      </w:tr>
      <w:tr>
        <w:tc>
          <w:tcPr>
            <w:tcW w:type="dxa" w:w="4968"/>
            <w:vAlign w:val="center"/>
          </w:tcPr>
          <w:p>
            <w:pPr>
              <w:spacing w:after="0"/>
            </w:pPr>
            <w:r/>
            <w:r>
              <w:rPr>
                <w:rFonts w:ascii="Aptos" w:hAnsi="Aptos"/>
                <w:b/>
                <w:sz w:val="18"/>
              </w:rPr>
              <w:t>PDF table extraction errors</w:t>
            </w:r>
          </w:p>
        </w:tc>
        <w:tc>
          <w:tcPr>
            <w:tcW w:type="dxa" w:w="4968"/>
            <w:vAlign w:val="center"/>
          </w:tcPr>
          <w:p>
            <w:pPr>
              <w:spacing w:after="0"/>
            </w:pPr>
            <w:r/>
            <w:r>
              <w:rPr>
                <w:rFonts w:ascii="Aptos" w:hAnsi="Aptos"/>
                <w:b w:val="0"/>
                <w:sz w:val="18"/>
              </w:rPr>
              <w:t>Verify against page images and maintain a manual review queue.</w:t>
            </w:r>
          </w:p>
        </w:tc>
      </w:tr>
      <w:tr>
        <w:tc>
          <w:tcPr>
            <w:tcW w:type="dxa" w:w="4968"/>
            <w:vAlign w:val="center"/>
          </w:tcPr>
          <w:p>
            <w:pPr>
              <w:spacing w:after="0"/>
            </w:pPr>
            <w:r/>
            <w:r>
              <w:rPr>
                <w:rFonts w:ascii="Aptos" w:hAnsi="Aptos"/>
                <w:b/>
                <w:sz w:val="18"/>
              </w:rPr>
              <w:t>Different fiscal years or currencies</w:t>
            </w:r>
          </w:p>
        </w:tc>
        <w:tc>
          <w:tcPr>
            <w:tcW w:type="dxa" w:w="4968"/>
            <w:vAlign w:val="center"/>
          </w:tcPr>
          <w:p>
            <w:pPr>
              <w:spacing w:after="0"/>
            </w:pPr>
            <w:r/>
            <w:r>
              <w:rPr>
                <w:rFonts w:ascii="Aptos" w:hAnsi="Aptos"/>
                <w:b w:val="0"/>
                <w:sz w:val="18"/>
              </w:rPr>
              <w:t>Retain original period/currency and document any alignment or conversion.</w:t>
            </w:r>
          </w:p>
        </w:tc>
      </w:tr>
      <w:tr>
        <w:tc>
          <w:tcPr>
            <w:tcW w:type="dxa" w:w="4968"/>
            <w:vAlign w:val="center"/>
          </w:tcPr>
          <w:p>
            <w:pPr>
              <w:spacing w:after="0"/>
            </w:pPr>
            <w:r/>
            <w:r>
              <w:rPr>
                <w:rFonts w:ascii="Aptos" w:hAnsi="Aptos"/>
                <w:b/>
                <w:sz w:val="18"/>
              </w:rPr>
              <w:t>Restricted or changing API access</w:t>
            </w:r>
          </w:p>
        </w:tc>
        <w:tc>
          <w:tcPr>
            <w:tcW w:type="dxa" w:w="4968"/>
            <w:vAlign w:val="center"/>
          </w:tcPr>
          <w:p>
            <w:pPr>
              <w:spacing w:after="0"/>
            </w:pPr>
            <w:r/>
            <w:r>
              <w:rPr>
                <w:rFonts w:ascii="Aptos" w:hAnsi="Aptos"/>
                <w:b w:val="0"/>
                <w:sz w:val="18"/>
              </w:rPr>
              <w:t>Record terms/access requirements; design source adapters and preserve retrieval logs.</w:t>
            </w:r>
          </w:p>
        </w:tc>
      </w:tr>
      <w:tr>
        <w:tc>
          <w:tcPr>
            <w:tcW w:type="dxa" w:w="4968"/>
            <w:vAlign w:val="center"/>
          </w:tcPr>
          <w:p>
            <w:pPr>
              <w:spacing w:after="0"/>
            </w:pPr>
            <w:r/>
            <w:r>
              <w:rPr>
                <w:rFonts w:ascii="Aptos" w:hAnsi="Aptos"/>
                <w:b/>
                <w:sz w:val="18"/>
              </w:rPr>
              <w:t>Restated historical values</w:t>
            </w:r>
          </w:p>
        </w:tc>
        <w:tc>
          <w:tcPr>
            <w:tcW w:type="dxa" w:w="4968"/>
            <w:vAlign w:val="center"/>
          </w:tcPr>
          <w:p>
            <w:pPr>
              <w:spacing w:after="0"/>
            </w:pPr>
            <w:r/>
            <w:r>
              <w:rPr>
                <w:rFonts w:ascii="Aptos" w:hAnsi="Aptos"/>
                <w:b w:val="0"/>
                <w:sz w:val="18"/>
              </w:rPr>
              <w:t>Version records and flag restatements instead of silently replacing values.</w:t>
            </w:r>
          </w:p>
        </w:tc>
      </w:tr>
    </w:tbl>
    <w:p>
      <w:pPr>
        <w:pStyle w:val="Heading1"/>
      </w:pPr>
      <w:r>
        <w:t>12. Handoff to Deliverable 2</w:t>
      </w:r>
    </w:p>
    <w:p>
      <w:r>
        <w:t>The cleaned dataset should support later analysis by providing consistent company-year observations, scope-specific emissions, revenue, calculated intensity, and source metadata. Before modeling, the Deliverable 2 workflow should review coverage, decide the exact emissions/intensity target definitions, handle missingness appropriately, and use time-aware splits for forecasting to avoid leakage.</w:t>
      </w:r>
    </w:p>
    <w:p>
      <w:pPr>
        <w:pStyle w:val="Heading1"/>
      </w:pPr>
      <w:r>
        <w:t>Appendix A — Practical Notes</w:t>
      </w:r>
    </w:p>
    <w:p>
      <w:pPr>
        <w:pStyle w:val="ListBullet"/>
        <w:spacing w:after="40"/>
      </w:pPr>
      <w:r>
        <w:t>Treat the dataset as a secondary dataset: values are transcribed or programmatically extracted from external disclosures, not measured directly by the project team.</w:t>
      </w:r>
    </w:p>
    <w:p>
      <w:pPr>
        <w:pStyle w:val="ListBullet"/>
        <w:spacing w:after="40"/>
      </w:pPr>
      <w:r>
        <w:t>Keep raw data immutable and write cleaned outputs to a separate processed directory.</w:t>
      </w:r>
    </w:p>
    <w:p>
      <w:pPr>
        <w:pStyle w:val="ListBullet"/>
        <w:spacing w:after="40"/>
      </w:pPr>
      <w:r>
        <w:t>Include a README with environment setup, package versions, execution order, and any API credentials/configuration instructions. Never commit secrets or tokens.</w:t>
      </w:r>
    </w:p>
    <w:p>
      <w:pPr>
        <w:pStyle w:val="ListBullet"/>
        <w:spacing w:after="40"/>
      </w:pPr>
      <w:r>
        <w:t>Confirm source licensing, terms of use, and redistribution permissions before sharing downloaded reports or CDP-derived data.</w:t>
      </w:r>
    </w:p>
    <w:p>
      <w:pPr>
        <w:pStyle w:val="ListBullet"/>
        <w:spacing w:after="40"/>
      </w:pPr>
      <w:r>
        <w:t>Use “tCO₂e” consistently and define any intensity denominator in the column name or data dictionary.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Corporate Carbon Footprint Tracker  |  Deliverable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