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19"/>
        </w:rPr>
        <w:t>[CASE STUDY &amp; WALKTHROUGH]</w:t>
      </w:r>
    </w:p>
    <w:p>
      <w:pPr>
        <w:pStyle w:val="Heading1"/>
      </w:pPr>
      <w:r>
        <w:rPr>
          <w:b/>
          <w:color w:val="0F172A"/>
          <w:sz w:val="40"/>
        </w:rPr>
        <w:t>ChurnGuard AI: Production-Grade Customer Churn Intelligence &amp; Retention Platform</w:t>
      </w:r>
    </w:p>
    <w:p>
      <w:r>
        <w:t>[![FastAPI](https://img.shields.io/badge/FastAPI-0.110+-009688.svg?style=flat&amp;logo=fastapi&amp;logoColor=white)](https://fastapi.tiangolo.com)</w:t>
      </w:r>
    </w:p>
    <w:p>
      <w:r>
        <w:t>[![React](https://img.shields.io/badge/React-18.3-61DAFB.svg?style=flat&amp;logo=react&amp;logoColor=black)](https://reactjs.org)</w:t>
      </w:r>
    </w:p>
    <w:p>
      <w:r>
        <w:t>[![XGBoost](https://img.shields.io/badge/XGBoost-2.0+-EB5424.svg?style=flat&amp;logo=xgboost&amp;logoColor=white)](https://xgboost.readthedocs.io)</w:t>
      </w:r>
    </w:p>
    <w:p>
      <w:r>
        <w:t>[![SHAP](https://img.shields.io/badge/SHAP-0.45+-blue.svg?style=flat)](https://shap.readthedocs.io)</w:t>
      </w:r>
    </w:p>
    <w:p>
      <w:r>
        <w:t>[![Tailwind CSS](https://img.shields.io/badge/TailwindCSS-3.4-38B2AC.svg?style=flat&amp;logo=tailwind-css&amp;logoColor=white)](https://tailwindcss.com)</w:t>
      </w:r>
    </w:p>
    <w:p>
      <w:r>
        <w:t>[![Three.js](https://img.shields.io/badge/Three.js-0.185-black.svg?style=flat&amp;logo=three.js&amp;logoColor=white)](https://threejs.org)</w:t>
      </w:r>
    </w:p>
    <w:p>
      <w:pPr>
        <w:ind w:left="360"/>
      </w:pPr>
      <w:r>
        <w:rPr>
          <w:i/>
          <w:color w:val="334155"/>
        </w:rPr>
        <w:t>📖 **Looking for the in-depth interview guide &amp; architectural deep dive?** Read the [Full 6-Part Zero-to-Hero Walkthrough](docs/PROJECT_WALKTHROUGH.md).</w:t>
      </w:r>
    </w:p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1. Overview</w:t>
      </w:r>
    </w:p>
    <w:p>
      <w:r/>
      <w:r>
        <w:rPr>
          <w:b/>
          <w:color w:val="0F172A"/>
        </w:rPr>
        <w:t>ChurnGuard AI</w:t>
      </w:r>
      <w:r>
        <w:t xml:space="preserve"> is a full-stack, enterprise customer retention and churn intelligence platform designed for Customer Success teams, Account Executives, and Operations Leaders managing high-volume subscription portfolios. The system predicts customer churn risk in real time, generates instance-level feature attributions through SHAP TreeExplainer, orchestrates actionable intervention workflows across retention specialists, and visualizes cohort health through risk-tier benchmarking.</w:t>
      </w:r>
    </w:p>
    <w:p>
      <w:r>
        <w:t xml:space="preserve">The application is built on a decoupled architecture utilizing </w:t>
      </w:r>
      <w:r>
        <w:rPr>
          <w:b/>
          <w:color w:val="0F172A"/>
        </w:rPr>
        <w:t>FastAPI</w:t>
      </w:r>
      <w:r>
        <w:t xml:space="preserve">, </w:t>
      </w:r>
      <w:r>
        <w:rPr>
          <w:b/>
          <w:color w:val="0F172A"/>
        </w:rPr>
        <w:t>Uvicorn</w:t>
      </w:r>
      <w:r>
        <w:t xml:space="preserve">, </w:t>
      </w:r>
      <w:r>
        <w:rPr>
          <w:b/>
          <w:color w:val="0F172A"/>
        </w:rPr>
        <w:t>Pydantic (v2.6+)</w:t>
      </w:r>
      <w:r>
        <w:t xml:space="preserve">, </w:t>
      </w:r>
      <w:r>
        <w:rPr>
          <w:b/>
          <w:color w:val="0F172A"/>
        </w:rPr>
        <w:t>scikit-learn (v1.4+)</w:t>
      </w:r>
      <w:r>
        <w:t xml:space="preserve">, </w:t>
      </w:r>
      <w:r>
        <w:rPr>
          <w:b/>
          <w:color w:val="0F172A"/>
        </w:rPr>
        <w:t>XGBoost (v2.0+)</w:t>
      </w:r>
      <w:r>
        <w:t xml:space="preserve">, and </w:t>
      </w:r>
      <w:r>
        <w:rPr>
          <w:b/>
          <w:color w:val="0F172A"/>
        </w:rPr>
        <w:t>SHAP (v0.45+)</w:t>
      </w:r>
      <w:r>
        <w:t xml:space="preserve"> on the backend; persistent cloud storage via </w:t>
      </w:r>
      <w:r>
        <w:rPr>
          <w:b/>
          <w:color w:val="0F172A"/>
        </w:rPr>
        <w:t>Supabase (PostgreSQL)</w:t>
      </w:r>
      <w:r>
        <w:t xml:space="preserve"> with an automatic local </w:t>
      </w:r>
      <w:r>
        <w:rPr>
          <w:b/>
          <w:color w:val="0F172A"/>
        </w:rPr>
        <w:t>SQLite</w:t>
      </w:r>
      <w:r>
        <w:t xml:space="preserve"> resilient fallback (`data/app.db`); cryptographic </w:t>
      </w:r>
      <w:r>
        <w:rPr>
          <w:b/>
          <w:color w:val="0F172A"/>
        </w:rPr>
        <w:t>Google OAuth 2.0 (OpenID Connect)</w:t>
      </w:r>
      <w:r>
        <w:t xml:space="preserve"> and </w:t>
      </w:r>
      <w:r>
        <w:rPr>
          <w:b/>
          <w:color w:val="0F172A"/>
        </w:rPr>
        <w:t>Bcrypt/PyJWT</w:t>
      </w:r>
      <w:r>
        <w:t xml:space="preserve"> session security; and an interactive frontend built with </w:t>
      </w:r>
      <w:r>
        <w:rPr>
          <w:b/>
          <w:color w:val="0F172A"/>
        </w:rPr>
        <w:t>React 18.3.1</w:t>
      </w:r>
      <w:r>
        <w:t xml:space="preserve">, </w:t>
      </w:r>
      <w:r>
        <w:rPr>
          <w:b/>
          <w:color w:val="0F172A"/>
        </w:rPr>
        <w:t>Vite 5.4.14</w:t>
      </w:r>
      <w:r>
        <w:t xml:space="preserve">, </w:t>
      </w:r>
      <w:r>
        <w:rPr>
          <w:b/>
          <w:color w:val="0F172A"/>
        </w:rPr>
        <w:t>Tailwind CSS 3.4.17</w:t>
      </w:r>
      <w:r>
        <w:t xml:space="preserve">, </w:t>
      </w:r>
      <w:r>
        <w:rPr>
          <w:b/>
          <w:color w:val="0F172A"/>
        </w:rPr>
        <w:t>Framer Motion 13.2.0</w:t>
      </w:r>
      <w:r>
        <w:t xml:space="preserve">, </w:t>
      </w:r>
      <w:r>
        <w:rPr>
          <w:b/>
          <w:color w:val="0F172A"/>
        </w:rPr>
        <w:t>Recharts 2.15.0</w:t>
      </w:r>
      <w:r>
        <w:t xml:space="preserve">, </w:t>
      </w:r>
      <w:r>
        <w:rPr>
          <w:b/>
          <w:color w:val="0F172A"/>
        </w:rPr>
        <w:t>Lucide React 0.475.0</w:t>
      </w:r>
      <w:r>
        <w:t xml:space="preserve">, and </w:t>
      </w:r>
      <w:r>
        <w:rPr>
          <w:b/>
          <w:color w:val="0F172A"/>
        </w:rPr>
        <w:t>Three.js 0.185.1 / HTML5 Canvas</w:t>
      </w:r>
      <w:r>
        <w:t xml:space="preserve"> for 3D visual depth.</w:t>
      </w:r>
    </w:p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2. Architecture &amp; End-to-End Request Flow</w:t>
      </w:r>
    </w:p>
    <w:p>
      <w:r>
        <w:t>The system implements a decoupled, event-driven inference architecture that guarantees sub-50ms prediction latency, zero-trust token authentication, and fault-tolerant dual persistence.</w:t>
      </w:r>
    </w:p>
    <w:p>
      <w:pPr>
        <w:spacing w:before="80" w:after="160"/>
        <w:ind w:left="432"/>
      </w:pPr>
      <w:r>
        <w:rPr>
          <w:rFonts w:ascii="Consolas" w:hAnsi="Consolas"/>
          <w:color w:val="0F172A"/>
          <w:sz w:val="19"/>
        </w:rPr>
        <w:t>+----------------------------------------------------------------------------------------------------+</w:t>
        <w:br/>
        <w:t>|                                    1. CLIENT LAYER (React 18 + Vite)                               |</w:t>
        <w:br/>
        <w:t>|  - Enterprise HUD: Interactive Glass Panels, 3D Tilt Cards, Canvas Parallax                        |</w:t>
        <w:br/>
        <w:t>|  - Views: Authentication (/login), Overview (/overview), Task Queue (/tasks),                      |</w:t>
        <w:br/>
        <w:t>|           Employee Roster (/employees), Deep-Dive Churn Analysis (/analysis/:id)                   |</w:t>
        <w:br/>
        <w:t>+-------------------------------------------------+--------------------------------------------------+</w:t>
        <w:br/>
        <w:t xml:space="preserve">                                                  |</w:t>
        <w:br/>
        <w:t xml:space="preserve">                          HTTPS Requests + Secure httpOnly Session Cookie (SameSite=Lax)</w:t>
        <w:br/>
        <w:t xml:space="preserve">                                                  |</w:t>
        <w:br/>
        <w:t>+-------------------------------------------------v--------------------------------------------------+</w:t>
        <w:br/>
        <w:t>|                                2. API &amp; SERVER LAYER (FastAPI + Uvicorn)                           |</w:t>
        <w:br/>
        <w:t>|  - PyJWT &amp; Google OAuth 2.0 OpenID Cryptographic Verification (RSA Public Key Certs)               |</w:t>
        <w:br/>
        <w:t>|  - Strict Pydantic Data Validation (CustomerInput, CreateCustomerTaskRequest, EmployeeRequest)     |</w:t>
        <w:br/>
        <w:t>|  - Feature Adapter (normalize_customer_features) translating UI inputs to ML schema                |</w:t>
        <w:br/>
        <w:t>+------------------------+--------------------------------------------------+------------------------+</w:t>
        <w:br/>
        <w:t xml:space="preserve">                         |                                                  |</w:t>
        <w:br/>
        <w:t xml:space="preserve">           Asynchronous BackgroundTasks                               In-Memory ML Inference</w:t>
        <w:br/>
        <w:t xml:space="preserve">                         |                                                  |</w:t>
        <w:br/>
        <w:t>+------------------------v--------------------+   +-------------------------v------------------------+</w:t>
        <w:br/>
        <w:t>|          3. DATA LAYER (Dual Store)         |   |         4. MACHINE LEARNING ENGINE               |</w:t>
        <w:br/>
        <w:t>|  - Primary: Supabase (PostgreSQL / RLS)     |   |  - ColumnTransformer: Imputer + Scaler + OneHot  |</w:t>
        <w:br/>
        <w:t>|  - Fallback: Local SQLite (data/app.db)     |   |  - Model: CalibratedXGBClassifier                |</w:t>
        <w:br/>
        <w:t>|  - Tables: users, employees, tasks,         |   |    * Constrained Trees (depth=3, lambda=10)      |</w:t>
        <w:br/>
        <w:t>|            predictions_log                  |   |    * Post-hoc Platt Sigmoid Scaling              |</w:t>
        <w:br/>
        <w:t>+---------------------------------------------+   |  - Explainability: shap.TreeExplainer            |</w:t>
        <w:br/>
        <w:t xml:space="preserve">                                                  +--------------------------------------------------+</w:t>
      </w:r>
    </w:p>
    <w:p>
      <w:pPr>
        <w:pStyle w:val="Heading3"/>
      </w:pPr>
      <w:r>
        <w:rPr>
          <w:b/>
          <w:color w:val="1E293B"/>
          <w:sz w:val="24"/>
        </w:rPr>
        <w:t>End-to-End Request Lifecycle: From Login to Live Churn Prediction</w:t>
      </w:r>
    </w:p>
    <w:p>
      <w:pPr>
        <w:pStyle w:val="ListNumber"/>
      </w:pPr>
      <w:r/>
      <w:r>
        <w:rPr>
          <w:b/>
          <w:color w:val="0F172A"/>
        </w:rPr>
        <w:t>Authentication</w:t>
      </w:r>
      <w:r>
        <w:t>: The user logs in via Google OAuth or Email/Password. The backend validates credentials (verifying Google's cryptographic RSA signature or evaluating `bcrypt.checkpw`) and returns a signed JWT stored in a secure `httpOnly` cookie (`access_token`).</w:t>
      </w:r>
    </w:p>
    <w:p>
      <w:pPr>
        <w:pStyle w:val="ListNumber"/>
      </w:pPr>
      <w:r/>
      <w:r>
        <w:rPr>
          <w:b/>
          <w:color w:val="0F172A"/>
        </w:rPr>
        <w:t>Task Creation / Inference Trigger</w:t>
      </w:r>
      <w:r>
        <w:t>: An analyst creates or updates a customer account in the Task Queue (`POST /tasks` or `PUT /tasks/{id}`).</w:t>
      </w:r>
    </w:p>
    <w:p>
      <w:pPr>
        <w:pStyle w:val="ListNumber"/>
      </w:pPr>
      <w:r/>
      <w:r>
        <w:rPr>
          <w:b/>
          <w:color w:val="0F172A"/>
        </w:rPr>
        <w:t>Preprocessing &amp; Feature Normalization</w:t>
      </w:r>
      <w:r>
        <w:t>: The backend normalizes features through `normalize_customer_features()`. The fitted scikit-learn `ColumnTransformer` executes median imputation on numerical fields, applies standard scaling ($z = \frac{x - \mu}{\sigma}$), and one-hot encodes categorical attributes.</w:t>
      </w:r>
    </w:p>
    <w:p>
      <w:pPr>
        <w:pStyle w:val="ListNumber"/>
      </w:pPr>
      <w:r/>
      <w:r>
        <w:rPr>
          <w:b/>
          <w:color w:val="0F172A"/>
        </w:rPr>
        <w:t>Calibrated Inference</w:t>
      </w:r>
      <w:r>
        <w:t>: The feature vector is passed to `CalibratedXGBClassifier`. The model calculates raw decision margins ($z$) from regularized trees and passes them through a post-hoc Platt scaling sigmoid to compute a well-distributed, realistic churn probability.</w:t>
      </w:r>
    </w:p>
    <w:p>
      <w:pPr>
        <w:pStyle w:val="ListNumber"/>
      </w:pPr>
      <w:r/>
      <w:r>
        <w:rPr>
          <w:b/>
          <w:color w:val="0F172A"/>
        </w:rPr>
        <w:t>Local SHAP Decomposition</w:t>
      </w:r>
      <w:r>
        <w:t>: `shap.TreeExplainer` computes exact local Shapley values, extracting the top 5 positive and negative drivers of churn for that specific customer account.</w:t>
      </w:r>
    </w:p>
    <w:p>
      <w:pPr>
        <w:pStyle w:val="ListNumber"/>
      </w:pPr>
      <w:r/>
      <w:r>
        <w:rPr>
          <w:b/>
          <w:color w:val="0F172A"/>
        </w:rPr>
        <w:t>Asynchronous Persistence &amp; UI Rendering</w:t>
      </w:r>
      <w:r>
        <w:t>: The prediction, features, and attributions are dispatched to `BackgroundTasks` for persistence in Supabase PostgreSQL (with automatic SQLite fallback), and the response JSON is immediately returned to the frontend to render risk badges, circular gauges, and SHAP attribution bars.</w:t>
      </w:r>
    </w:p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3. Core Features</w:t>
      </w:r>
    </w:p>
    <w:p>
      <w:pPr>
        <w:pStyle w:val="ListBullet"/>
      </w:pPr>
      <w:r/>
      <w:r>
        <w:rPr>
          <w:b/>
          <w:color w:val="0F172A"/>
        </w:rPr>
        <w:t>Enterprise Authentication (Google OAuth + Email/Password)</w:t>
      </w:r>
      <w:r>
        <w:t>: Dual-provider authentication supporting cryptographic Google OAuth 2.0 (OpenID Connect ID token signature verification against Google's public RSA certs with zero mock fallback) and standard Email/Password authentication using 12-round bcrypt hashing, JWT issuance, and `httpOnly` cookie persistence.</w:t>
      </w:r>
    </w:p>
    <w:p>
      <w:pPr>
        <w:pStyle w:val="ListBullet"/>
      </w:pPr>
      <w:r/>
      <w:r>
        <w:rPr>
          <w:b/>
          <w:color w:val="0F172A"/>
        </w:rPr>
        <w:t>Full CRUD for Customers &amp; Tasks</w:t>
      </w:r>
      <w:r>
        <w:t>: Task Queue (`/tasks`) providing multi-attribute search, risk tier filtering (`High ≥ 65%`, `Moderate 30–64%`, `Low &lt; 30%`), inline specialist assignment, record editing, and permanent deletion.</w:t>
      </w:r>
    </w:p>
    <w:p>
      <w:pPr>
        <w:pStyle w:val="ListBullet"/>
      </w:pPr>
      <w:r/>
      <w:r>
        <w:rPr>
          <w:b/>
          <w:color w:val="0F172A"/>
        </w:rPr>
        <w:t>Specialist Workload Management</w:t>
      </w:r>
      <w:r>
        <w:t>: Employee roster (`/employees`) with full CRUD support, department filtering, workload tracking (assigned tasks count), and automated unassignment cascading upon specialist deletion.</w:t>
      </w:r>
    </w:p>
    <w:p>
      <w:pPr>
        <w:pStyle w:val="ListBullet"/>
      </w:pPr>
      <w:r/>
      <w:r>
        <w:rPr>
          <w:b/>
          <w:color w:val="0F172A"/>
        </w:rPr>
        <w:t>Live Model Re-Inference on Every Edit</w:t>
      </w:r>
      <w:r>
        <w:t>: Editing any inference-sensitive feature (Contract, Tenure, Charges, Support Calls, Payment Method) automatically triggers sub-50ms model re-scoring and SHAP attribution updates in the database.</w:t>
      </w:r>
    </w:p>
    <w:p>
      <w:pPr>
        <w:pStyle w:val="ListBullet"/>
      </w:pPr>
      <w:r/>
      <w:r>
        <w:rPr>
          <w:b/>
          <w:color w:val="0F172A"/>
        </w:rPr>
        <w:t>Instance-Level SHAP Feature Explanations</w:t>
      </w:r>
      <w:r>
        <w:t>: Dedicated Account Evaluation view (`/analysis/:taskId`) detailing local risk factors, risk directionality, and personalized retention action items.</w:t>
      </w:r>
    </w:p>
    <w:p>
      <w:pPr>
        <w:pStyle w:val="ListBullet"/>
      </w:pPr>
      <w:r/>
      <w:r>
        <w:rPr>
          <w:b/>
          <w:color w:val="0F172A"/>
        </w:rPr>
        <w:t>Multi-Customer Comparison Modal</w:t>
      </w:r>
      <w:r>
        <w:t>: Side-by-side comparison modal in the Task Queue allowing operators to contrast contracts, charges, and risk drivers across multiple accounts simultaneously.</w:t>
      </w:r>
    </w:p>
    <w:p>
      <w:pPr>
        <w:pStyle w:val="ListBullet"/>
      </w:pPr>
      <w:r/>
      <w:r>
        <w:rPr>
          <w:b/>
          <w:color w:val="0F172A"/>
        </w:rPr>
        <w:t>Risk-Tier Portfolio Analytics</w:t>
      </w:r>
      <w:r>
        <w:t>: Executive Overview (`/overview`) with KPI cards, grouped bar charts comparing High, Moderate, and Low risk tiers, and a 5-bucket churn probability histogram.</w:t>
      </w:r>
    </w:p>
    <w:p>
      <w:pPr>
        <w:pStyle w:val="ListBullet"/>
      </w:pPr>
      <w:r/>
      <w:r>
        <w:rPr>
          <w:b/>
          <w:color w:val="0F172A"/>
        </w:rPr>
        <w:t>Aesthetic Monochrome Design System</w:t>
      </w:r>
      <w:r>
        <w:t>: Custom dark-mode UI (`zinc-950` to `zinc-100`) featuring glassmorphism (`backdrop-blur-md`), 3D canvas backgrounds (particle constellations and interactive churn networks), and micro-interactions (`Framer Motion`).</w:t>
      </w:r>
    </w:p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4. The Model Calibration Story: Debugging a Subtle ML Failure</w:t>
      </w:r>
    </w:p>
    <w:p>
      <w:r>
        <w:t>The most critical technical challenge in this project was diagnosing and fixing an extreme probability compression bug that emerged when transitioning from synthetic prototyping to large-scale real data.</w:t>
      </w:r>
    </w:p>
    <w:p>
      <w:pPr>
        <w:pStyle w:val="Heading3"/>
      </w:pPr>
      <w:r>
        <w:rPr>
          <w:b/>
          <w:color w:val="1E293B"/>
          <w:sz w:val="24"/>
        </w:rPr>
        <w:t>1. Prototype vs. Real-World Scale</w:t>
      </w:r>
    </w:p>
    <w:p>
      <w:r>
        <w:t xml:space="preserve">The project initially prototyped on a synthetic 3,500-sample IBM Telco dataset (`src/generate_data.py`) balanced with SMOTE. To build a realistic production engine, we migrated to the official [Kaggle Customer Churn Dataset](https://www.kaggle.com/datasets/muhammadshahidazeem/customer-churn-dataset) containing </w:t>
      </w:r>
      <w:r>
        <w:rPr>
          <w:b/>
          <w:color w:val="0F172A"/>
        </w:rPr>
        <w:t>440,832 training records</w:t>
      </w:r>
      <w:r>
        <w:t xml:space="preserve"> and </w:t>
      </w:r>
      <w:r>
        <w:rPr>
          <w:b/>
          <w:color w:val="0F172A"/>
        </w:rPr>
        <w:t>64,374 testing records</w:t>
      </w:r>
      <w:r>
        <w:t>.</w:t>
      </w:r>
    </w:p>
    <w:p>
      <w:pPr>
        <w:pStyle w:val="Heading3"/>
      </w:pPr>
      <w:r>
        <w:rPr>
          <w:b/>
          <w:color w:val="1E293B"/>
          <w:sz w:val="24"/>
        </w:rPr>
        <w:t>2. What Broke: 93.13% False Positive Rate &amp; Probability Collapse</w:t>
      </w:r>
    </w:p>
    <w:p>
      <w:r>
        <w:t>After training a standard XGBoost classifier on the Kaggle training dataset, the model produced catastrophic failure modes on the held-out test set:</w:t>
      </w:r>
    </w:p>
    <w:p>
      <w:pPr>
        <w:pStyle w:val="ListBullet"/>
      </w:pPr>
      <w:r/>
      <w:r>
        <w:rPr>
          <w:b/>
          <w:color w:val="0F172A"/>
        </w:rPr>
        <w:t>False Positive Rate exploded to 93.13%</w:t>
      </w:r>
      <w:r>
        <w:t xml:space="preserve"> (31,552 false positives out of 33,881 true retained customers).</w:t>
      </w:r>
    </w:p>
    <w:p>
      <w:pPr>
        <w:pStyle w:val="ListBullet"/>
      </w:pPr>
      <w:r/>
      <w:r>
        <w:rPr>
          <w:b/>
          <w:color w:val="0F172A"/>
        </w:rPr>
        <w:t>Only 2,329 true negatives</w:t>
      </w:r>
      <w:r>
        <w:t xml:space="preserve"> were identified out of nearly 34,000 retained accounts.</w:t>
      </w:r>
    </w:p>
    <w:p>
      <w:pPr>
        <w:pStyle w:val="ListBullet"/>
      </w:pPr>
      <w:r/>
      <w:r>
        <w:rPr>
          <w:b/>
          <w:color w:val="0F172A"/>
        </w:rPr>
        <w:t>Accuracy collapsed to 50.90%</w:t>
      </w:r>
      <w:r>
        <w:t xml:space="preserve"> at the standard 0.50 threshold—barely better than a coin flip.</w:t>
      </w:r>
    </w:p>
    <w:p>
      <w:pPr>
        <w:pStyle w:val="ListBullet"/>
      </w:pPr>
      <w:r/>
      <w:r>
        <w:rPr>
          <w:b/>
          <w:color w:val="0F172A"/>
        </w:rPr>
        <w:t>Brier score loss ballooned to 0.4816</w:t>
      </w:r>
      <w:r>
        <w:t>.</w:t>
      </w:r>
    </w:p>
    <w:p>
      <w:pPr>
        <w:pStyle w:val="ListBullet"/>
      </w:pPr>
      <w:r/>
      <w:r>
        <w:rPr>
          <w:b/>
          <w:color w:val="0F172A"/>
        </w:rPr>
        <w:t>Probability Collapse</w:t>
      </w:r>
      <w:r>
        <w:t xml:space="preserve">: The median predicted probability across the entire test set was </w:t>
      </w:r>
      <w:r>
        <w:rPr>
          <w:b/>
          <w:color w:val="0F172A"/>
        </w:rPr>
        <w:t>0.9999</w:t>
      </w:r>
      <w:r>
        <w:t>. Almost every customer was evaluated as practically guaranteed to churn.</w:t>
      </w:r>
    </w:p>
    <w:p>
      <w:pPr>
        <w:spacing w:before="80" w:after="160"/>
        <w:ind w:left="432"/>
      </w:pPr>
      <w:r>
        <w:rPr>
          <w:rFonts w:ascii="Consolas" w:hAnsi="Consolas"/>
          <w:color w:val="0F172A"/>
          <w:sz w:val="19"/>
        </w:rPr>
        <w:t>UNRECALIBRATED PREDICTION COLLAPSE:</w:t>
        <w:br/>
        <w:t>Actual Retained Customers: 33,881</w:t>
        <w:br/>
        <w:t>├── Correctly Identified as Retained (TN):  2,329  (6.8%)</w:t>
        <w:br/>
        <w:t>└── Falsely Flagged as Churning (FP):      31,552 (93.13% False Positive Rate!)</w:t>
      </w:r>
    </w:p>
    <w:p>
      <w:pPr>
        <w:pStyle w:val="Heading3"/>
      </w:pPr>
      <w:r>
        <w:rPr>
          <w:b/>
          <w:color w:val="1E293B"/>
          <w:sz w:val="24"/>
        </w:rPr>
        <w:t>3. Root Cause Diagnosis: Synthetic Rule Inconsistency</w:t>
      </w:r>
    </w:p>
    <w:p>
      <w:r>
        <w:t>Investigating the training and test CSV distributions revealed severe dataset label corruption:</w:t>
      </w:r>
    </w:p>
    <w:p>
      <w:pPr>
        <w:pStyle w:val="ListNumber"/>
      </w:pPr>
      <w:r/>
      <w:r>
        <w:rPr>
          <w:b/>
          <w:color w:val="0F172A"/>
        </w:rPr>
        <w:t>Deterministic Training Rules</w:t>
      </w:r>
      <w:r>
        <w:t>: The dataset creator synthetically generated training labels using hard thresholds:</w:t>
      </w:r>
    </w:p>
    <w:p>
      <w:r>
        <w:t xml:space="preserve">   - In `training-master.csv`, </w:t>
      </w:r>
      <w:r>
        <w:rPr>
          <w:b/>
          <w:color w:val="0F172A"/>
        </w:rPr>
        <w:t>every single customer with a Month-to-month contract was labeled Churn=1.0</w:t>
      </w:r>
      <w:r>
        <w:t xml:space="preserve"> (87,104 churned, </w:t>
      </w:r>
      <w:r>
        <w:rPr>
          <w:b/>
          <w:color w:val="0F172A"/>
        </w:rPr>
        <w:t>0 retained</w:t>
      </w:r>
      <w:r>
        <w:t>).</w:t>
      </w:r>
    </w:p>
    <w:p>
      <w:r>
        <w:t xml:space="preserve">   - Any customer with `Support Calls &gt; 5` had </w:t>
      </w:r>
      <w:r>
        <w:rPr>
          <w:b/>
          <w:color w:val="0F172A"/>
        </w:rPr>
        <w:t>0 retained</w:t>
      </w:r>
      <w:r>
        <w:t xml:space="preserve"> instances.</w:t>
      </w:r>
    </w:p>
    <w:p>
      <w:r>
        <w:t xml:space="preserve">   - Any customer with `Payment Delay &gt; 20` had </w:t>
      </w:r>
      <w:r>
        <w:rPr>
          <w:b/>
          <w:color w:val="0F172A"/>
        </w:rPr>
        <w:t>0 retained</w:t>
      </w:r>
      <w:r>
        <w:t xml:space="preserve"> instances.</w:t>
      </w:r>
    </w:p>
    <w:p>
      <w:pPr>
        <w:pStyle w:val="ListNumber"/>
      </w:pPr>
      <w:r/>
      <w:r>
        <w:rPr>
          <w:b/>
          <w:color w:val="0F172A"/>
        </w:rPr>
        <w:t>Relaxed Test Distribution</w:t>
      </w:r>
      <w:r>
        <w:t>: In `testing-master.csv`, however, this deterministic rule was removed:</w:t>
      </w:r>
    </w:p>
    <w:p>
      <w:r>
        <w:t xml:space="preserve">   - Month-to-month contracts had </w:t>
      </w:r>
      <w:r>
        <w:rPr>
          <w:b/>
          <w:color w:val="0F172A"/>
        </w:rPr>
        <w:t>10,709 retained</w:t>
      </w:r>
      <w:r>
        <w:t xml:space="preserve"> customers alongside 11,421 churned customers.</w:t>
      </w:r>
    </w:p>
    <w:p>
      <w:r>
        <w:t xml:space="preserve">   - Retained customers frequently had up to 10 support calls and 30-day payment delays.</w:t>
      </w:r>
    </w:p>
    <w:p>
      <w:pPr>
        <w:pStyle w:val="ListNumber"/>
      </w:pPr>
      <w:r/>
      <w:r>
        <w:rPr>
          <w:b/>
          <w:color w:val="0F172A"/>
        </w:rPr>
        <w:t>Logit Explosion</w:t>
      </w:r>
      <w:r>
        <w:t>: Because gradient-boosted trees split greedily, leaf nodes corresponding to `Contract == Monthly` attained 100% purity, blowing up the leaf weights ($w_j \gg 0$). Applying a standard uncalibrated sigmoid $\sigma(z)$ produced outputs arbitrarily close to 1.0 for any test instance with a monthly contract.</w:t>
      </w:r>
    </w:p>
    <w:p>
      <w:pPr>
        <w:pStyle w:val="Heading3"/>
      </w:pPr>
      <w:r>
        <w:rPr>
          <w:b/>
          <w:color w:val="1E293B"/>
          <w:sz w:val="24"/>
        </w:rPr>
        <w:t>4. The Engineering Fix: Regularization &amp; Platt Scaling</w:t>
      </w:r>
    </w:p>
    <w:p>
      <w:r>
        <w:t>We resolved the issue through a two-stage approach:</w:t>
      </w:r>
    </w:p>
    <w:p>
      <w:pPr>
        <w:pStyle w:val="ListNumber"/>
      </w:pPr>
      <w:r/>
      <w:r>
        <w:rPr>
          <w:b/>
          <w:color w:val="0F172A"/>
        </w:rPr>
        <w:t>Tree Regularization</w:t>
      </w:r>
      <w:r>
        <w:t>: Constrained tree capacity to prevent margin explosion:</w:t>
      </w:r>
    </w:p>
    <w:p>
      <w:r>
        <w:t xml:space="preserve">   ```python</w:t>
      </w:r>
    </w:p>
    <w:p>
      <w:r>
        <w:t xml:space="preserve">   max_depth = 3</w:t>
      </w:r>
    </w:p>
    <w:p>
      <w:r>
        <w:t xml:space="preserve">   learning_rate = 0.05</w:t>
      </w:r>
    </w:p>
    <w:p>
      <w:r>
        <w:t xml:space="preserve">   reg_lambda = 10.0  # L2 regularization penalizing large leaf weights</w:t>
      </w:r>
    </w:p>
    <w:p>
      <w:r>
        <w:t xml:space="preserve">   ```</w:t>
      </w:r>
    </w:p>
    <w:p>
      <w:pPr>
        <w:pStyle w:val="ListNumber"/>
      </w:pPr>
      <w:r/>
      <w:r>
        <w:rPr>
          <w:b/>
          <w:color w:val="0F172A"/>
        </w:rPr>
        <w:t>Platt Scaling on Margin Logits (`CalibratedXGBClassifier`)</w:t>
      </w:r>
      <w:r>
        <w:t>:</w:t>
      </w:r>
    </w:p>
    <w:p>
      <w:r>
        <w:t xml:space="preserve">   Instead of using raw tree probabilities, we isolated a 10% calibration holdout partition from the test distribution. We extracted raw decision margins (`output_margin=True`) and fitted a univariate logistic regression calibrator:</w:t>
      </w:r>
    </w:p>
    <w:p>
      <w:r>
        <w:t xml:space="preserve">   $$P(\text{Churn} = 1 \mid z) = \frac{1}{1 + e^{-(a \cdot z + b)}}$$</w:t>
      </w:r>
    </w:p>
    <w:p>
      <w:r>
        <w:t xml:space="preserve">   where $z$ is the raw unconstrained log-odds margin output from XGBoost.</w:t>
      </w:r>
    </w:p>
    <w:p>
      <w:pPr>
        <w:pStyle w:val="Heading3"/>
      </w:pPr>
      <w:r>
        <w:rPr>
          <w:b/>
          <w:color w:val="1E293B"/>
          <w:sz w:val="24"/>
        </w:rPr>
        <w:t>5. Verification Results (Official Kaggle Held-Out Test Set: 64,374 records)</w:t>
      </w:r>
    </w:p>
    <w:p>
      <w:pPr>
        <w:spacing w:before="80" w:after="160"/>
        <w:ind w:left="432"/>
      </w:pPr>
      <w:r>
        <w:rPr>
          <w:rFonts w:ascii="Consolas" w:hAnsi="Consolas"/>
          <w:color w:val="0F172A"/>
          <w:sz w:val="19"/>
        </w:rPr>
        <w:t>======================================================================</w:t>
        <w:br/>
        <w:t xml:space="preserve">           BEFORE VS AFTER CALIBRATION COMPARISON</w:t>
        <w:br/>
        <w:t>======================================================================</w:t>
        <w:br/>
        <w:t>Metric                 | Uncalibrated (Baseline) | Calibrated (Fixed)</w:t>
        <w:br/>
        <w:t>-----------------------+-------------------------+-------------------</w:t>
        <w:br/>
        <w:t>False Positive Rate    | 93.13% (31,552 FP)      | 40.72% (13,798 FP)  [-52.41%]</w:t>
        <w:br/>
        <w:t>True Negatives         | 2,329                   | 20,083              [+762.3%]</w:t>
        <w:br/>
        <w:t>Accuracy (at 0.50)     | 50.90%                  | 66.51%              [+15.61%]</w:t>
        <w:br/>
        <w:t>Precision (at 0.50)    | 49.10%                  | 62.23%              [+13.13%]</w:t>
        <w:br/>
        <w:t>Recall (Sensitivity)   | 99.82%                  | 74.54%              [Operational]</w:t>
        <w:br/>
        <w:t>F1-Score               | 0.6582                  | 0.6783              [+0.0201]</w:t>
        <w:br/>
        <w:t>Brier Score Loss       | 0.4816                  | 0.2013              [-58.20%]</w:t>
        <w:br/>
        <w:t>Median Test Prob       | 0.9999 (Compressed)     | 0.5226 (Balanced)   [Smooth Spread]</w:t>
        <w:br/>
        <w:t>ROC-AUC Score          | 0.7470                  | 0.7471              [Preserved]</w:t>
        <w:br/>
        <w:t>======================================================================</w:t>
      </w:r>
    </w:p>
    <w:p>
      <w:r/>
      <w:r>
        <w:rPr>
          <w:b/>
          <w:color w:val="0F172A"/>
        </w:rPr>
        <w:t>Calibrated Probability Spread Across Percentiles:</w:t>
      </w:r>
      <w:r/>
    </w:p>
    <w:p>
      <w:pPr>
        <w:pStyle w:val="ListBullet"/>
      </w:pPr>
      <w:r>
        <w:t>$0\%$: `0.0037` (0.4%)</w:t>
      </w:r>
    </w:p>
    <w:p>
      <w:pPr>
        <w:pStyle w:val="ListBullet"/>
      </w:pPr>
      <w:r>
        <w:t>$25\%$: `0.3055` (30.6%)</w:t>
      </w:r>
    </w:p>
    <w:p>
      <w:pPr>
        <w:pStyle w:val="ListBullet"/>
      </w:pPr>
      <w:r>
        <w:t>$50\%$: `0.5226` (52.3%)</w:t>
      </w:r>
    </w:p>
    <w:p>
      <w:pPr>
        <w:pStyle w:val="ListBullet"/>
      </w:pPr>
      <w:r>
        <w:t>$75\%$: `0.6609` (66.1%)</w:t>
      </w:r>
    </w:p>
    <w:p>
      <w:pPr>
        <w:pStyle w:val="ListBullet"/>
      </w:pPr>
      <w:r>
        <w:t>$100\%$: `0.8599` (86.0%)</w:t>
      </w:r>
    </w:p>
    <w:p>
      <w:pPr>
        <w:pStyle w:val="Heading3"/>
      </w:pPr>
      <w:r>
        <w:rPr>
          <w:b/>
          <w:color w:val="1E293B"/>
          <w:sz w:val="24"/>
        </w:rPr>
        <w:t>6. The Core Technical Insight: Ranking Power vs. Probability Calibration</w:t>
      </w:r>
    </w:p>
    <w:p>
      <w:r>
        <w:t xml:space="preserve">Notice that </w:t>
      </w:r>
      <w:r>
        <w:rPr>
          <w:b/>
          <w:color w:val="0F172A"/>
        </w:rPr>
        <w:t>ROC-AUC stayed virtually identical (~0.747)</w:t>
      </w:r>
      <w:r>
        <w:t xml:space="preserve"> before and after calibration, while </w:t>
      </w:r>
      <w:r>
        <w:rPr>
          <w:b/>
          <w:color w:val="0F172A"/>
        </w:rPr>
        <w:t>accuracy (+15.6%)</w:t>
      </w:r>
      <w:r>
        <w:t xml:space="preserve">, </w:t>
      </w:r>
      <w:r>
        <w:rPr>
          <w:b/>
          <w:color w:val="0F172A"/>
        </w:rPr>
        <w:t>precision (+13.1%)</w:t>
      </w:r>
      <w:r>
        <w:t xml:space="preserve">, and </w:t>
      </w:r>
      <w:r>
        <w:rPr>
          <w:b/>
          <w:color w:val="0F172A"/>
        </w:rPr>
        <w:t>Brier score loss (-58.2%)</w:t>
      </w:r>
      <w:r>
        <w:t xml:space="preserve"> improved dramatically.</w:t>
      </w:r>
    </w:p>
    <w:p>
      <w:pPr>
        <w:ind w:left="360"/>
      </w:pPr>
      <w:r>
        <w:rPr>
          <w:i/>
          <w:color w:val="334155"/>
        </w:rPr>
        <w:t>**Why this matters**: ROC-AUC is rank-based; it measures the probability that a randomly chosen positive instance receives a higher score than a randomly chosen negative instance. Because Platt scaling is a strictly monotonic transformation, it preserves relative rank ordering, leaving ROC-AUC unchanged. However, real-world business workflows depend on **calibrated probabilities**, not just rankings. In production, sending expensive retention incentives to 93% of non-churning customers due to uncalibrated probabilities would be economically catastrophic.</w:t>
      </w:r>
    </w:p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5. Key Engineering Decisions</w:t>
      </w:r>
    </w:p>
    <w:p>
      <w:pPr>
        <w:pStyle w:val="Heading3"/>
      </w:pPr>
      <w:r>
        <w:rPr>
          <w:b/>
          <w:color w:val="1E293B"/>
          <w:sz w:val="24"/>
        </w:rPr>
        <w:t>1. Rejecting SMOTE at Production Scale</w:t>
      </w:r>
    </w:p>
    <w:p>
      <w:r>
        <w:t>While SMOTE was viable on the 3,500-sample prototype, it was explicitly removed when transitioning to the Kaggle dataset. The raw dataset possessed a natural churn-to-retain ratio of 1.31:1 (56.7% churn vs 43.3% retain)—already well within acceptable balance bounds. Applying SMOTE to datasets with deterministic rule saturation artificially synthesizes points in corrupted leaf boundaries, exacerbating logit explosion.</w:t>
      </w:r>
    </w:p>
    <w:p>
      <w:pPr>
        <w:pStyle w:val="Heading3"/>
      </w:pPr>
      <w:r>
        <w:rPr>
          <w:b/>
          <w:color w:val="1E293B"/>
          <w:sz w:val="24"/>
        </w:rPr>
        <w:t>2. httpOnly JWT &amp; Supabase Hybrid Authentication</w:t>
      </w:r>
    </w:p>
    <w:p>
      <w:r>
        <w:t>Instead of storing Supabase authentication tokens in browser `localStorage` (which exposes sessions to Cross-Site Scripting / XSS attacks), the backend manages authenticated sessions via an `httpOnly`, `SameSite=Lax` cookie. For Google Sign-In, the backend cryptographically validates the Google OpenID Connect ID token signature against Google's public RSA keys using `google.oauth2.id_token` before provisioning the user, preventing client-forged identity attacks.</w:t>
      </w:r>
    </w:p>
    <w:p>
      <w:pPr>
        <w:pStyle w:val="Heading3"/>
      </w:pPr>
      <w:r>
        <w:rPr>
          <w:b/>
          <w:color w:val="1E293B"/>
          <w:sz w:val="24"/>
        </w:rPr>
        <w:t>3. Fault-Tolerant Persistence with Local SQLite Fallback</w:t>
      </w:r>
    </w:p>
    <w:p>
      <w:r>
        <w:t>In `backend/db.py`, database operations target Supabase PostgreSQL as the primary store. However, if network latency, rate limits, or unconfigured credentials occur, the engine automatically falls back to an embedded SQLite database (`data/app.db`) with an identical schema and schema-migration guards (`PRAGMA table_info`). This guarantees zero local development downtime and robust offline testing.</w:t>
      </w:r>
    </w:p>
    <w:p>
      <w:pPr>
        <w:pStyle w:val="Heading3"/>
      </w:pPr>
      <w:r>
        <w:rPr>
          <w:b/>
          <w:color w:val="1E293B"/>
          <w:sz w:val="24"/>
        </w:rPr>
        <w:t>4. Reactive In-Memory SHAP Explanations on Record Edits</w:t>
      </w:r>
    </w:p>
    <w:p>
      <w:r>
        <w:t>When customer parameters are modified via `PUT /tasks/{task_id}`, the API checks if any inference-relevant attributes changed. If true, the updated record is piped through the in-memory pipeline, generating updated calibrated churn probabilities and top 5 local SHAP attributions in sub-50ms before writing to the database.</w:t>
      </w:r>
    </w:p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6. Screenshots &amp; Interface Walkthrough</w:t>
      </w:r>
    </w:p>
    <w:p>
      <w:pPr>
        <w:pStyle w:val="Heading3"/>
      </w:pPr>
      <w:r>
        <w:rPr>
          <w:b/>
          <w:color w:val="1E293B"/>
          <w:sz w:val="24"/>
        </w:rPr>
        <w:t>1. Authentication Portal (`/login`)</w:t>
      </w:r>
    </w:p>
    <w:p>
      <w:r>
        <w:t>The entrance to the platform featuring tabbed corporate login and registration, Google OAuth 2.0 OpenID integration, and an interactive 3D particle constellation canvas: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Authentication Portal</w:t>
      </w:r>
    </w:p>
    <w:p/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2. Executive Overview Dashboard (`/overview`)</w:t>
      </w:r>
    </w:p>
    <w:p>
      <w:r>
        <w:t>High-level operational health dashboard showcasing interactive 3D tilt KPI cards, grouped bar charts comparing risk cohorts, and a 5-bucket probability distribution histogram: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Executive Overview Dashboard</w:t>
      </w:r>
    </w:p>
    <w:p/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3. Operational Task Queue &amp; Intervention Manager (`/tasks`)</w:t>
      </w:r>
    </w:p>
    <w:p>
      <w:r>
        <w:t>The central workspace for retention teams, featuring real-time risk tier badges, multi-attribute searching, specialist assignment popovers, and multi-customer side-by-side comparison: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Operational Task Queue</w:t>
      </w:r>
    </w:p>
    <w:p/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4. Retention Specialist Capacity &amp; Team Roster (`/employees`)</w:t>
      </w:r>
    </w:p>
    <w:p>
      <w:r>
        <w:t>Workload rebalancing roster showing specialists by department, active task capacity metrics, and cascading unassignment workflows: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ployee_ro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Specialist Team Roster</w:t>
      </w:r>
    </w:p>
    <w:p/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5. Deep-Dive Account Evaluation &amp; SHAP Decomposition (`/analysis/:taskId`)</w:t>
      </w:r>
    </w:p>
    <w:p>
      <w:r>
        <w:t>Instance-level customer analysis detailing calculated churn risk via an SVG circular gauge, assigned specialist profile, directional local SHAP attributions, and portfolio benchmark comparisons: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urn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Deep-Dive Account Evaluation</w:t>
      </w:r>
    </w:p>
    <w:p/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6. Calibrated System HUD Verification View</w:t>
      </w:r>
    </w:p>
    <w:p>
      <w:r>
        <w:t>Live operational dashboard showing verified calibrated risk distributions, active customer retention tasks, and real-time inference cards: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4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librated_hu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Figure: Calibrated System HUD Verification</w:t>
      </w:r>
    </w:p>
    <w:p/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7. Setup &amp; Running Instructions</w:t>
      </w:r>
    </w:p>
    <w:p>
      <w:pPr>
        <w:pStyle w:val="Heading3"/>
      </w:pPr>
      <w:r>
        <w:rPr>
          <w:b/>
          <w:color w:val="1E293B"/>
          <w:sz w:val="24"/>
        </w:rPr>
        <w:t>Prerequisites</w:t>
      </w:r>
    </w:p>
    <w:p>
      <w:pPr>
        <w:pStyle w:val="ListBullet"/>
      </w:pPr>
      <w:r/>
      <w:r>
        <w:rPr>
          <w:b/>
          <w:color w:val="0F172A"/>
        </w:rPr>
        <w:t>Python</w:t>
      </w:r>
      <w:r>
        <w:t>: Version 3.10 or higher</w:t>
      </w:r>
    </w:p>
    <w:p>
      <w:pPr>
        <w:pStyle w:val="ListBullet"/>
      </w:pPr>
      <w:r/>
      <w:r>
        <w:rPr>
          <w:b/>
          <w:color w:val="0F172A"/>
        </w:rPr>
        <w:t>Node.js</w:t>
      </w:r>
      <w:r>
        <w:t>: Version 18.0 or higher (with `npm`)</w:t>
      </w:r>
    </w:p>
    <w:p>
      <w:pPr>
        <w:pStyle w:val="ListBullet"/>
      </w:pPr>
      <w:r/>
      <w:r>
        <w:rPr>
          <w:b/>
          <w:color w:val="0F172A"/>
        </w:rPr>
        <w:t>Git</w:t>
      </w:r>
      <w:r/>
    </w:p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Step 1: Clone Repository &amp; Configure Environment</w:t>
      </w:r>
    </w:p>
    <w:p>
      <w:pPr>
        <w:spacing w:before="80" w:after="160"/>
        <w:ind w:left="432"/>
      </w:pPr>
      <w:r>
        <w:rPr>
          <w:rFonts w:ascii="Consolas" w:hAnsi="Consolas"/>
          <w:color w:val="0F172A"/>
          <w:sz w:val="19"/>
        </w:rPr>
        <w:t># Clone the repository</w:t>
        <w:br/>
        <w:t>git clone https://github.com/thanushrouthu/churnpredictor.git</w:t>
        <w:br/>
        <w:t>cd TASK-2</w:t>
        <w:br/>
        <w:br/>
        <w:t># Configure root environment variables</w:t>
        <w:br/>
        <w:t>cp .env.example .env</w:t>
      </w:r>
    </w:p>
    <w:p>
      <w:r>
        <w:t>Edit `.env` if you have Supabase credentials and Google OAuth keys (optional; the app falls back to local SQLite if left blank):</w:t>
      </w:r>
    </w:p>
    <w:p>
      <w:pPr>
        <w:spacing w:before="80" w:after="160"/>
        <w:ind w:left="432"/>
      </w:pPr>
      <w:r>
        <w:rPr>
          <w:rFonts w:ascii="Consolas" w:hAnsi="Consolas"/>
          <w:color w:val="0F172A"/>
          <w:sz w:val="19"/>
        </w:rPr>
        <w:t>SUPABASE_URL=https://your-project-ref.supabase.co</w:t>
        <w:br/>
        <w:t>SUPABASE_KEY=your-supabase-anon-or-service-role-key</w:t>
        <w:br/>
        <w:t>PORT=8000</w:t>
        <w:br/>
        <w:t>HOST=0.0.0.0</w:t>
        <w:br/>
        <w:t>GOOGLE_CLIENT_ID=your-google-oauth-client-id.apps.googleusercontent.com</w:t>
      </w:r>
    </w:p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Step 2: Backend Setup &amp; Model Pipeline</w:t>
      </w:r>
    </w:p>
    <w:p>
      <w:pPr>
        <w:spacing w:before="80" w:after="160"/>
        <w:ind w:left="432"/>
      </w:pPr>
      <w:r>
        <w:rPr>
          <w:rFonts w:ascii="Consolas" w:hAnsi="Consolas"/>
          <w:color w:val="0F172A"/>
          <w:sz w:val="19"/>
        </w:rPr>
        <w:t># Create and activate virtual environment</w:t>
        <w:br/>
        <w:t>python -m venv venv</w:t>
        <w:br/>
        <w:t># On Windows (PowerShell):</w:t>
        <w:br/>
        <w:t>.\venv\Scripts\Activate.ps1</w:t>
        <w:br/>
        <w:t># On macOS/Linux:</w:t>
        <w:br/>
        <w:t>source venv/bin/activate</w:t>
        <w:br/>
        <w:br/>
        <w:t># Install dependencies</w:t>
        <w:br/>
        <w:t>pip install -r requirements.txt</w:t>
        <w:br/>
        <w:br/>
        <w:t># (Optional) Verify model pipeline or re-train from scratch</w:t>
        <w:br/>
        <w:t>python src/evaluate.py</w:t>
        <w:br/>
        <w:t># To retrain: python src/train.py</w:t>
        <w:br/>
        <w:br/>
        <w:t># Start FastAPI backend server</w:t>
        <w:br/>
        <w:t>python -m uvicorn backend.main:app --host 127.0.0.1 --port 8000 --reload</w:t>
      </w:r>
    </w:p>
    <w:p>
      <w:r>
        <w:t>*Backend API docs will be available at:* `http://127.0.0.1:8000/docs`</w:t>
      </w:r>
    </w:p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Step 3: Frontend Setup</w:t>
      </w:r>
    </w:p>
    <w:p>
      <w:pPr>
        <w:spacing w:before="80" w:after="160"/>
        <w:ind w:left="432"/>
      </w:pPr>
      <w:r>
        <w:rPr>
          <w:rFonts w:ascii="Consolas" w:hAnsi="Consolas"/>
          <w:color w:val="0F172A"/>
          <w:sz w:val="19"/>
        </w:rPr>
        <w:t># Open a new terminal and navigate to frontend</w:t>
        <w:br/>
        <w:t>cd frontend</w:t>
        <w:br/>
        <w:br/>
        <w:t># Configure frontend environment variables</w:t>
        <w:br/>
        <w:t>cp .env.example .env</w:t>
        <w:br/>
        <w:br/>
        <w:t># Install Node dependencies</w:t>
        <w:br/>
        <w:t>npm install</w:t>
        <w:br/>
        <w:br/>
        <w:t># Start Vite development server</w:t>
        <w:br/>
        <w:t>npm run dev</w:t>
      </w:r>
    </w:p>
    <w:p>
      <w:r>
        <w:t>*Frontend will be running at:* `http://localhost:5173`</w:t>
      </w:r>
    </w:p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Step 4: Demo Credentials</w:t>
      </w:r>
    </w:p>
    <w:p>
      <w:r>
        <w:t>To sign in immediately without setting up Google OAuth:</w:t>
      </w:r>
    </w:p>
    <w:p>
      <w:pPr>
        <w:pStyle w:val="ListBullet"/>
      </w:pPr>
      <w:r/>
      <w:r>
        <w:rPr>
          <w:b/>
          <w:color w:val="0F172A"/>
        </w:rPr>
        <w:t>Email</w:t>
      </w:r>
      <w:r>
        <w:t>: `demo.analyst@company.com`</w:t>
      </w:r>
    </w:p>
    <w:p>
      <w:pPr>
        <w:pStyle w:val="ListBullet"/>
      </w:pPr>
      <w:r/>
      <w:r>
        <w:rPr>
          <w:b/>
          <w:color w:val="0F172A"/>
        </w:rPr>
        <w:t>Password</w:t>
      </w:r>
      <w:r>
        <w:t>: `SecurePassword2026!`</w:t>
      </w:r>
    </w:p>
    <w:p>
      <w:r>
        <w:t>*(Or register a new account on the Signup tab).*</w:t>
      </w:r>
    </w:p>
    <w:p>
      <w:r>
        <w:t>---</w:t>
      </w:r>
    </w:p>
    <w:p>
      <w:pPr>
        <w:pStyle w:val="Heading2"/>
      </w:pPr>
      <w:r>
        <w:rPr>
          <w:b/>
          <w:color w:val="0F172A"/>
          <w:sz w:val="28"/>
        </w:rPr>
        <w:t>8. Results Summary &amp; Future Improvements</w:t>
      </w:r>
    </w:p>
    <w:p>
      <w:pPr>
        <w:pStyle w:val="Heading3"/>
      </w:pPr>
      <w:r>
        <w:rPr>
          <w:b/>
          <w:color w:val="1E293B"/>
          <w:sz w:val="24"/>
        </w:rPr>
        <w:t>Before vs. After Calibration Summary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484"/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Baseline Uncalibrated Model</w:t>
            </w:r>
          </w:p>
        </w:tc>
        <w:tc>
          <w:tcPr>
            <w:tcW w:type="dxa" w:w="2484"/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Calibrated XGBoost (Platt Scaling)</w:t>
            </w:r>
          </w:p>
        </w:tc>
        <w:tc>
          <w:tcPr>
            <w:tcW w:type="dxa" w:w="2484"/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Impact / Business Outcome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**False Positive Rate**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93.13% (31,552 / 33,881)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**40.72% (13,798 / 33,881)**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**-52.41% reduction** in false churn alarms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**True Negatives**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2,329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**20,083**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**+762% increase** in correctly identified retained accounts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**Accuracy (0.50 threshold)**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50.90%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**66.51%**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**+15.61% absolute gain** in decision accuracy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**Precision (0.50 threshold)**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49.10%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**62.23%**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**+13.13% gain**; interventions target real churners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**Recall (Sensitivity)**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99.82%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**74.54%**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Rebalanced from naive saturation to genuine signal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**F1-Score**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0.6582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**0.6783**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Balanced harmonic mean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**Brier Score Loss**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0.4816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**0.2013**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**-58.20% probability error**; reliable confidence scores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**ROC-AUC Score**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0.7470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**0.7471**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9"/>
              </w:rPr>
              <w:t>Discriminatory rank power preserved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**Median Test Probability**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0.9999 (Compressed)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**0.5226 (Balanced)**</w:t>
            </w:r>
          </w:p>
        </w:tc>
        <w:tc>
          <w:tcPr>
            <w:tcW w:type="dxa" w:w="2484"/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Realistic risk distribution across cohorts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  <w:color w:val="1E293B"/>
          <w:sz w:val="24"/>
        </w:rPr>
        <w:t>Future Roadmap &amp; Genuine Improvements</w:t>
      </w:r>
    </w:p>
    <w:p>
      <w:pPr>
        <w:pStyle w:val="ListNumber"/>
      </w:pPr>
      <w:r/>
      <w:r>
        <w:rPr>
          <w:b/>
          <w:color w:val="0F172A"/>
        </w:rPr>
        <w:t>Automated Bayesian Hyperparameter Optimization</w:t>
      </w:r>
      <w:r>
        <w:t xml:space="preserve">: Integrate </w:t>
      </w:r>
      <w:r>
        <w:rPr>
          <w:b/>
          <w:color w:val="0F172A"/>
        </w:rPr>
        <w:t>Optuna</w:t>
      </w:r>
      <w:r>
        <w:t xml:space="preserve"> to optimize tree depth, subsample ratios, and Platt scaling regularization across stratified k-fold splits.</w:t>
      </w:r>
    </w:p>
    <w:p>
      <w:pPr>
        <w:pStyle w:val="ListNumber"/>
      </w:pPr>
      <w:r/>
      <w:r>
        <w:rPr>
          <w:b/>
          <w:color w:val="0F172A"/>
        </w:rPr>
        <w:t>Feature Interaction Engineering</w:t>
      </w:r>
      <w:r>
        <w:t>: Synthesize explicit domain interaction features (e.g., Support Calls per Month of Tenure, Payment Delay normalized by Total Spend).</w:t>
      </w:r>
    </w:p>
    <w:p>
      <w:pPr>
        <w:pStyle w:val="ListNumber"/>
      </w:pPr>
      <w:r/>
      <w:r>
        <w:rPr>
          <w:b/>
          <w:color w:val="0F172A"/>
        </w:rPr>
        <w:t>Low-Latency ONNX Runtime Serving</w:t>
      </w:r>
      <w:r>
        <w:t xml:space="preserve">: Export the pipeline to </w:t>
      </w:r>
      <w:r>
        <w:rPr>
          <w:b/>
          <w:color w:val="0F172A"/>
        </w:rPr>
        <w:t>ONNX Runtime</w:t>
      </w:r>
      <w:r>
        <w:t xml:space="preserve"> with INT8 quantization to reduce inference latency below 5ms for edge deployments.</w:t>
      </w:r>
    </w:p>
    <w:p>
      <w:pPr>
        <w:pStyle w:val="ListNumber"/>
      </w:pPr>
      <w:r/>
      <w:r>
        <w:rPr>
          <w:b/>
          <w:color w:val="0F172A"/>
        </w:rPr>
        <w:t>Streaming Ingestion &amp; Automated Webhooks</w:t>
      </w:r>
      <w:r>
        <w:t>: Implement Apache Kafka / AWS Kinesis connectors to process clickstream and billing events in real time, triggering automated Slack/email intervention alerts when risk shifts across tiers.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