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Bình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thành thạo kỹ năng storytelling bằng dữ liệu – không chỉ phân tích và trình bày số liệu, mà còn giúp truyền tải thông tin một cách sinh động, dễ hiểu và có sức thuyết phục với các bên liên quan.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12/02/1996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0902826440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