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Châu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các dự án mã nguồn mở về AI để cải thiện kỹ năng coding, hiểu rõ best practice trong xây dựng hệ thống học máy và tăng khả năng cộng tác quốc tế.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20/07/1983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0793371687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Deep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Quốc Bảo (CTO - Công ty VisionTech) - bao.le@visiontech.vn - 0944333555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Hoàng Long (Head of AI - Công ty SmartVision) - long.nguyen@smartvision.vn - 0908111222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