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Phương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chuyên viên phân tích dữ liệu không chỉ giỏi kỹ thuật mà còn có khả năng giao tiếp và trình bày kết quả một cách mạch lạc, dễ hiểu cho cả đội ngũ không chuyên.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05/07/2000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0816817201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Storytelling with Data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