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Thành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thành thạo kỹ năng storytelling bằng dữ liệu – không chỉ phân tích và trình bày số liệu, mà còn giúp truyền tải thông tin một cách sinh động, dễ hiểu và có sức thuyết phục với các bên liên quan.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23/09/1999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0772896939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