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Thành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10/05/1980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0811552676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