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Dũng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thành một Security Engineer có tư duy phản biện cao, sẵn sàng phát hiện bất thường từ log hệ thống, mã nguồn, hoặc hành vi người dùng để ngăn chặn nguy cơ bị khai thác.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24/04/1994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0787757377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