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Giang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triển khai các chính sách bảo mật nội bộ như phân quyền truy cập theo nguyên tắc 'least privilege', mã hóa dữ liệu đầu cuối và xác thực đa yếu tố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02/07/1983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0852866125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Wireshark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Configuration (iptables, UFW)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