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Hùng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làm việc với các nhóm Data Scientist và BI Analyst để đảm bảo dữ liệu được xử lý đúng định dạng, đúng ngữ nghĩa và cung cấp kịp thời cho phân tích chuyên sâu.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21/08/1995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0726548312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và Dữ liệu lớn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NoSQL (MongoDB, Cassandra)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Snowflake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Minh Đức (CTO - Công ty DataStreamX) - duc.vu@datastreamx.vn - 0977333444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nhân viên cải tiến năng suất truy vấn dữ liệu SQL tại ReportPro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dữ liệu xuất sắc quý I tại Công ty DataBridge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Data Engineering on Google Cloud Platform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Streaming Data with Apache Kafka – Confluent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xây dựng pipeline dữ liệu tại Phòng Lab Dữ liệu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luồng dữ liệu ETL sử dụng Apache Airflow.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ingestion dữ liệu từ API và cơ sở dữ liệu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với nhóm phân tích dữ liệu để tối ưu schema lưu trữ.</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