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Hạnh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mục tiêu trong 3 năm tới trở thành một Senior Data Engineer, có khả năng thiết kế toàn bộ kiến trúc dữ liệu, dẫn dắt đội nhóm và đề xuất cải tiến cho chiến lược dữ liệu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01/08/1998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0765357596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Cloud Platform (GCP)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Quality  Validation (Great Expectations)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Spark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Thanh Hương (Data Operations Manager - Công ty ReportPro) - huong.pham@reportpro.vn - 0912111222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'Nhân sự triển khai hệ thống streaming real-time đầu tiên' tại LogiTech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về bảo mật và chất lượng dữ liệu – Công ty InfosecData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Data Engineering on Google Cloud Platform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'Big Data Architecture' tại Data Talks Vietnam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kiến trúc hệ thống thu thập và xử lý dữ liệu đa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ưu nhược điểm của Data Warehouse vs Data Lakehouse.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công cụ phổ biến như Airflow, dbt, Snowflake.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khóa học nền tảng kỹ sư dữ liệu tại Trung tâm Đào tạo CloudTech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triển khai hệ thống ingest dữ liệu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về xử lý dữ liệu song song với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về định hướng nghề nghiệp cho sinh viên muốn theo ngành data engineering.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nghiên cứu học thuật tại Khoa Công nghệ Thông tin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hóa dữ liệu nghiên cứu sinh viên từ nhiều năm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và tổng hợp xu hướng đăng ký môn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trình bày cho giảng viên hướng dẫn.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