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Minh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14/12/1998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0895708658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Hệ thống thông tin quản lý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Lập trình automation script nhỏ</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Tìm hiểu hệ thống phân tán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Cấu hình mạng nội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