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Ngân Giang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các hội thảo, chương trình đào tạo chuyên sâu về bảo mật từ các tổ chức uy tín như Offensive Security, EC-Council, SANS để nâng cao trình độ chuyên môn.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15/08/2000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0329453304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Quản trị và bảo mật hệ thống mạng tại Đại học CNTT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Cloud Security (AWS, Azure)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Ngọc Ánh (Senior Security Engineer – BizSecure) - anh.nguyen@bizsecure.vn - 0966888777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'Kỹ sư có sáng kiến bảo mật nội bộ' của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An toàn Thông tin xuất sắc quý III tại Công ty AnToanTech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GIAC Security Essentials (GSEC) – SANS Institute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PenTest+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Ethical Hacker (CEH) – EC-Council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chương trình đánh giá bảo mật hệ thống tại Công ty SafeNet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cấu hình tường lửa, phân quyền tài khoản trên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port, phát hiện dịch vụ không an toàn.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báo cáo lỗ hổng gửi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bảo mật thông tin tại infosecjournal.vn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bảo mật hệ thống và ứng dụng web.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kiểm tra bảo mật với Kali Linux và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phân tích kỹ thuật về các cuộc tấn công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khách mời tại Hội thảo 'CyberSec Career Day'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lộ trình nghề nghiệp dành cho kỹ sư An toàn Thông tin.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thực tế về triển khai hệ thống SIEM.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sinh viên về định hướng chuyên sâu Red Team và Blue Team.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