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Tùng Thảo</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xây dựng giải pháp giám sát băng thông, phân tích log mạng để phát hiện các hành vi bất thường, góp phần giảm thiểu rủi ro bảo mật mạng từ bên trong lẫn bên ngoài.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27/12/1999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0749701915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Wi-Fi Planning  Deployment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Scripting cơ bản với Bash hoặc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Hậu (Quản lý kỹ thuật - Công ty VietNet Solutions) - hau.nguyen@vietnet.vn - 0966888555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'Giải quyết sự cố nhanh nhất tháng' tại Trung tâm Dữ liệu ABC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có tỷ lệ xử lý ticket mạng nhanh nhất quý III tại bộ phận IT Helpdesk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CompTIA Network+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Fortinet Network Security Expert (NSE 4) – Fortinet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Network Professional (CCNP Enterprise)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