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Việt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chịu trách nhiệm xây dựng quy trình chuẩn ISO cho vận hành hạ tầng mạng, bao gồm backup cấu hình thiết bị, phân quyền truy cập và kiểm tra định kỳ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25/03/1994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0391002931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Routing Protocols (OSPF, BGP, EIGRP)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Server Administration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