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Việt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xây dựng môi trường DevOps chuẩn mực đáp ứng tiêu chí ISO/IEC 27001, phù hợp với các doanh nghiệp cần tuân thủ yêu cầu an toàn thông tin trong hệ thống sản phẩm và dữ liệu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18/01/1998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0306958303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CI/CD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Monitoring (Prometheus, Grafana)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Duyên (Quản lý kỹ thuật - Công ty NextInfra) - duyen.tran@nextinfra.vn - 0933111222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Trọng Tuấn (System Reliability Engineer - Công ty Cloudify) - tuan.nguyen@cloudify.vn - 0966777888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Lâm (Trưởng nhóm DevOps - Công ty CoreSys) - lam.ho@coresys.vn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Cải tiến hệ thống triển khai nhanh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DevSecOps Fundamentals – Open Security Training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thi đấu esport LAN tại Sự kiện GameZone Arena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hạ tầng mạng LAN ổn định cho 30+ máy tính thi đấu.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băng thông và phân bổ IP tĩnh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hệ thống load balancing để tránh nghẽn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Cải tiến hệ thống log tập trung với ELK Stack (DevOps Engineer, FinSight)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Giúp đội phát triển dễ dàng truy vết lỗi bằng hệ thống log phân tích thời gian thực.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Elasticsearch, Logstash và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log từ container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hiển thị lỗi theo mức độ và nguồn phát sinh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triển khai hạ tầng bằng Terraform (Infrastructure Engineer, DevInfra)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hóa và tự động hóa việc tạo mới môi trường hạ tầng trên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file Terraform quản lý toàn bộ cấu trúc VPC, EC2, RDS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Terraform vào GitOps flow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hạ tầng bằng Terraform Plan và Apply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