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Dũng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AI Engineer có khả năng huấn luyện và tối ưu mô hình Deep Learning với PyTorch, sử dụng các kiến trúc CNN, RNN, Transformer cho nhiều loại dữ liệu.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18/08/1994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0704524249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Tôn Đức Thắng  - Trí tuệ nhân tạo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Computer Vision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 cho AI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Keras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Minh Hà (Giám đốc Trung tâm Trí tuệ Nhân tạo - Viện AI Việt Nam) - ha.tran@vienai.vn - 0912666777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Phan Thanh Thảo (AI Technical Lead - Công ty OpenAI Việt Nam) - thao.phan@openai.vn - 0988111223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Hồng Ánh (AI Project Manager - Công ty DataInsight) - anh.nguyen@datainsight.vn - 0909222333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Quốc Hưng (Senior AI Engineer - Công ty EcomAI) - hung.trinh@ecomai.vn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Kim Yến (Data Science Manager - Công ty BigData Lab) - yen.le@bigdatalab.vn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nhì cuộc thi mô hình AI dự đoán rủi ro tín dụng tổ chức bởi ngân hàng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AI xuất sắc nhất quý II tại Công ty SmartVision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TensorFlow Developer Certificate – Google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Deep Learning Specialization – DeepLearning.AI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AI ứng dụng tại Phòng thí nghiệm AI, ĐH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mô hình học sâu (deep learning) áp dụng vào nhận dạng hình ảnh y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huấn luyện mô hình CNN trên dữ liệu ảnh chụp X-quang và MRI.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Công bố 1 bài báo khoa học tại hội thảo quốc gia về AI năm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dự án AI phát hiện gian lận tài chính tại Công ty FinAI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giao dịch tài chính để phát hiện hành vi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Random Forest và Gradient Boosting với dữ liệu nhãn lịch sử.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real-time prediction phục vụ kiểm duyệt giao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thi AI Hackathon tại Hội Sinh viên Kỹ thuật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chọn đề tài liên quan đến phân loại hình ảnh thực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thiện hiệu năng mô hình CNN trên tập dữ liệu tự thu thập.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đội thi giành giải nhì toàn quốc trong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