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Hà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trở thành kỹ sư mạng có khả năng quản lý lifecycle thiết bị: từ cấu hình ban đầu, triển khai thực địa đến monitoring, bảo trì và thay thế thiết bị theo chu kỳ.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13/06/1992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0884904363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dữ liệu tại Đại học Bách khoa Hà Nội  - Hạ tầng mạng và bảo mật hệ thống tại Trường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Monitoring (Zabbix, PRTG, SolarWinds)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Switching, VLAN, STP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NAT, PAT, ACL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Hoàng Minh Tuấn (Senior Network Engineer - Công ty NextInfra) - tuan.hoang@nextinfra.com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Hương (Giám sát kỹ thuật mạng - Công ty BizNet) - huong.vo@biznet.vn - 0922111222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vào dự án chuyển đổi mạng doanh nghiệp sang mô hình SD-WAN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VMware Certified Professional – Network Virtualization (VCP-NV)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Wireless Network Administrator (CWNA) – CWNP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