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Sơn Thu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xây dựng các mô hình dự báo chuỗi thời gian (time-series forecasting) để phục vụ các bài toán như dự báo doanh thu, tồn kho, nhu cầu khách hàng,... ứng dụng thực tế trong doanh nghiệp.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10/07/1984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0780671334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Trí tuệ nhân tạo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XGBoost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đàn guitar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Thu Hằng (Trưởng phòng Phân tích Dữ liệu – DataWave) - hang.tran@datawave.vn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Lan (Data Science Manager – SmartRetail) - lan.nguyen@smartretail.vn - 0988111222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DataWave (2022-2023)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pipeline xử lý dữ liệu và huấn luyện mô hình với MLflow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hiệu suất inference và triển khai lên môi trường staging bằng FastAPI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kiểm thử mô hình và đánh giá độ ổn định theo thời gian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Danh hiệu 'Mô hình AI tối ưu hiệu suất nhất năm' – tại FinTech 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with Classification and Vector Spaces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Applied Data Science with Python – University of Michigan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Introduction to MLOps – Coursera (DeepLearning.AI)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Machine Learning on Kaggle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đồ án tốt nghiệp về học máy tại CLB Sinh viên AI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tiến mô hình dự đoán nhu cầu sản phẩm theo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áp dụng pipeline sklearn để tổ chức mã rõ ràng.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Giúp nhóm sinh viên đạt điểm cao nhất lớp với sản phẩm AI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