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Thị 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tham gia các dự án có quy mô lớn, có độ phức tạp cao, từ đó nâng cao khả năng phân tích yêu cầu nghiệp vụ và phát hiện lỗi logic ngay từ sớm.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15/07/1984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0834415116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Bách khoa Hà Nội  - Khoa học máy tính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Selenium WebDriver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Manual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Tối ưu thiết bị máy tính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Chạy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Nhất cuộc thi kiểm thử phần mềm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chuyển đổi số tại Trường Đại học CNTT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hệ thống quản lý sinh viên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dữ liệu từ hệ thống cũ chuyển sang không bị lỗi.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hướng dẫn sử dụng dành cho cán bộ và giảng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kiểm thử cho dự án sinh viên tại CLB IT trẻ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cách kiểm thử phần mềm theo quy trình Agile.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chất lượng phần mềm theo checklist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viết tài liệu test plan và test report.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