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Thu Ngọc</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làm việc với các nhóm Data Scientist và BI Analyst để đảm bảo dữ liệu được xử lý đúng định dạng, đúng ngữ nghĩa và cung cấp kịp thời cho phân tích chuyên sâu.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20/09/1991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0899054097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xử lý dữ liệu lớn tại Đại học Phenikaa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Apache Spark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Phan Thành Tâm (Big Data Architect - Công ty LogiData) - tam.phan@logidata.vn - 0955111222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'Nhân sự triển khai hệ thống streaming real-time đầu tiên' tại LogiTech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nghiên cứu học thuật tại Khoa Công nghệ Thông tin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hóa dữ liệu nghiên cứu sinh viên từ nhiều năm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và tổng hợp xu hướng đăng ký môn học.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trình bày cho giảng viên hướng dẫn.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xây dựng pipeline dữ liệu tại Phòng Lab Dữ liệu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luồng dữ liệu ETL sử dụng Apache Airflow.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ingestion dữ liệu từ API và cơ sở dữ liệu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với nhóm phân tích dữ liệu để tối ưu schema lưu trữ.</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