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Anh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sâu trong vai trò Lập trình viên Python cấp độ trung bình (Mid-level), nơi tôi không chỉ thành thạo trong việc xây dựng các hệ thống backend sử dụng Django hoặc FastAPI, mà còn đóng góp vào quy trình thiết kế kiến trúc, tối ưu hiệu năng và đảm bảo bảo mật cho sản phẩm. Tôi mong muốn được tham gia vào các dự án phức tạp có hàng triệu người dùng, nơi tôi có thể áp dụng tư duy kỹ thuật và kỹ năng giải quyết vấn đề một cách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26/04/1996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0734317140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kinh tế tại Đại học Ngân hàng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Python for Everybody – Coursera (ĐH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