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Hạnh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việc phát triển kỹ năng tư duy thuật toán và triển khai mô hình học máy hiệu quả trong môi trường tài nguyên hạn chế như thiết bị IoT hoặc mobile (on-device inference).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13/02/1994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0969292525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và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SageMaker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