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Minh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tăng cường kỹ năng viết tài liệu kỹ thuật, sơ đồ hạ tầng (network diagram) để truyền đạt thông tin rõ ràng, phục vụ công tác chuyển giao, bàn giao và audit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25/08/1991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0855096684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Syslog  SNMP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