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Quỳnh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14/05/1992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0736449633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