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Khanh Hạnh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tìm hiểu và tích hợp các thư viện quản lý vòng đời mô hình (model lifecycle) như MLflow, DVC để tăng tính reproducibility và dễ dàng kiểm soát version của từng mô hình đã deploy.</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16/04/1992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0884198077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 Học máy và khai phá dữ liệu tại Đại học Khoa học Tự nhiên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MLOps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MLflow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Hyperparameter Tuning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