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Quang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sâu về cấu trúc microservice dùng Python, biết cách triển khai độc lập các module nhỏ, giao tiếp qua RabbitMQ hoặc Kafka và theo dõi, giám sát từng service một cách tách biệt.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22/07/1981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0315021114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