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Bình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triển khai các chính sách bảo mật nội bộ như phân quyền truy cập theo nguyên tắc 'least privilege', mã hóa dữ liệu đầu cuối và xác thực đa yếu tố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22/11/2000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0851101403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