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Ngọc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tham gia các dự án mã nguồn mở lớn về Python để học hỏi quy chuẩn làm việc, kỹ năng cộng tác toàn cầu và nâng cao kỹ năng đọc – viết mã trong các hệ thống phức tạp đã triển khai lâu năm.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24/05/1986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0322421566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for AI Engineers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