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Thành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trong việc phân tích và phản hồi sự cố bảo mật, từ việc thu thập log, phân tích forensics đến khôi phục hệ thống sau sự cố một cách nhanh chóng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03/04/1984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0346830312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an toàn thông tin tại Đại học Duy Tân  - An ninh mạng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Burp Suite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An toàn Thông tin xuất sắc quý III tại Công ty AnToanTech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