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Class WritingGroup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A group of people who comes together to pursue crafts of writings on one or different subjects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e101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groupName: an assigned name of the group that is used to distinguish a group of people from others.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headWriter: a person that holds leadership position and oversees a team of writers on writing work.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yearFormed: a year that the writing group is established.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subject: a specific area that the group of writers writes about.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Class Publisher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a person or company that prepares and issues books, journals, music, or other works for sale.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e101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publisherName: a specific name of a publisher that is used to distinguish the publisher from others.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publisherAddress: a specific area where a publisher locates.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publisherPhone: a piece of contact information that is used to contact a publisher by a phone call.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publisherEmail: a piece of contact information that is used to contact a publisher by electronic messages.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101a"/>
          <w:sz w:val="24"/>
          <w:szCs w:val="24"/>
          <w:rtl w:val="0"/>
        </w:rPr>
        <w:t xml:space="preserve">Class Book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A written or printed work consisting of pages of information. It can be a hard copy or an electronic version.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e101a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u w:val="single"/>
          <w:rtl w:val="0"/>
        </w:rPr>
        <w:t xml:space="preserve">Attributes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bookTitle: a name for the work which is usually chosen by the author. It can be used to identify the work, to place it in context, to convey a minimal summary of its contents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numberPages: total pages that a book has.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Ly Do, Taghreed, Fiona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Project JDBC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