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Calibri" w:hAnsi="Calibri"/>
          <w:b/>
          <w:i w:val="0"/>
          <w:color w:val="016BD5"/>
          <w:sz w:val="48"/>
          <w:u w:val="none"/>
        </w:rPr>
        <w:t>AI Portfolio</w:t>
      </w:r>
    </w:p>
    <w:p>
      <w:pPr>
        <w:spacing w:before="0" w:after="480"/>
        <w:jc w:val="center"/>
      </w:pPr>
      <w:r>
        <w:rPr>
          <w:rFonts w:ascii="Calibri" w:hAnsi="Calibri"/>
          <w:b w:val="0"/>
          <w:i w:val="0"/>
          <w:color w:val="333333"/>
          <w:sz w:val="28"/>
          <w:u w:val="none"/>
        </w:rPr>
        <w:t>KI-gestützte Portfolioanalyse (U/I/C/R/DQ)</w:t>
      </w:r>
    </w:p>
    <w:p>
      <w:pPr>
        <w:spacing w:before="0" w:after="720"/>
        <w:jc w:val="center"/>
      </w:pPr>
      <w:r>
        <w:rPr>
          <w:rFonts w:ascii="Calibri" w:hAnsi="Calibri"/>
          <w:b w:val="0"/>
          <w:i w:val="0"/>
          <w:color w:val="808080"/>
          <w:sz w:val="18"/>
          <w:u w:val="none"/>
        </w:rPr>
        <w:t>Generiert: 07.01.2026 20:57</w:t>
      </w:r>
    </w:p>
    <w:p>
      <w:pPr>
        <w:pStyle w:val="Heading1"/>
      </w:pPr>
      <w:r>
        <w:rPr>
          <w:color w:val="016BD5"/>
        </w:rPr>
        <w:t>Executive Summary</w:t>
      </w:r>
    </w:p>
    <w:p>
      <w:pPr>
        <w:spacing w:before="0" w:after="120"/>
        <w:jc w:val="left"/>
      </w:pPr>
      <w:r>
        <w:t>Das Portfolio 'AI Portfolio' befindet sich in einem kritischen Zustand, da die Mehrheit der Projekte als kritisch eingestuft ist und alle unter extrem niedriger Datenqualität leiden (DQ=1). Dies erschwert eine verlässliche Bewertung und Steuerung erheblich. Viele der strategisch wichtigen Projekte zeigen bereits vor oder kurz nach ihrem Start massive Verzögerungen und hohe Risiken, was auf grundlegende Planungs- oder Ressourcenprobleme hindeutet. Es besteht dringender Handlungsbedarf, um die Transparenz zu erhöhen und die Stabilität des Portfolios wiederherzustellen, beginnend mit der Sicherstellung der Datenintegrität.</w:t>
      </w:r>
    </w:p>
    <w:p>
      <w:pPr>
        <w:spacing w:before="0" w:after="120"/>
        <w:jc w:val="left"/>
      </w:pPr>
      <w:r>
        <w:rPr>
          <w:rFonts w:ascii="Calibri" w:hAnsi="Calibri"/>
          <w:b/>
          <w:i w:val="0"/>
          <w:sz w:val="22"/>
          <w:u w:val="none"/>
        </w:rPr>
        <w:br/>
        <w:t>Kennzahlen:</w:t>
      </w:r>
    </w:p>
    <w:tbl>
      <w:tblPr>
        <w:tblStyle w:val="TableGrid"/>
        <w:tblW w:type="auto" w:w="0"/>
        <w:jc w:val="center"/>
        <w:tblLook w:firstColumn="1" w:firstRow="1" w:lastColumn="0" w:lastRow="0" w:noHBand="0" w:noVBand="1" w:val="04A0"/>
      </w:tblPr>
      <w:tblGrid>
        <w:gridCol w:w="4320"/>
        <w:gridCol w:w="4320"/>
      </w:tblGrid>
      <w:tr>
        <w:tc>
          <w:tcPr>
            <w:tcW w:type="dxa" w:w="4535"/>
            <w:shd w:fill="016BD5" w:val="clear"/>
          </w:tcPr>
          <w:p>
            <w:pPr>
              <w:jc w:val="left"/>
            </w:pPr>
            <w:r/>
            <w:r>
              <w:rPr>
                <w:b/>
                <w:color w:val="FFFFFF"/>
              </w:rPr>
              <w:t>Kennzahl</w:t>
            </w:r>
          </w:p>
        </w:tc>
        <w:tc>
          <w:tcPr>
            <w:tcW w:type="dxa" w:w="1701"/>
            <w:shd w:fill="016BD5" w:val="clear"/>
          </w:tcPr>
          <w:p>
            <w:pPr>
              <w:jc w:val="center"/>
            </w:pPr>
            <w:r/>
            <w:r>
              <w:rPr>
                <w:b/>
                <w:color w:val="FFFFFF"/>
              </w:rPr>
              <w:t>Wert</w:t>
            </w:r>
          </w:p>
        </w:tc>
      </w:tr>
      <w:tr>
        <w:tc>
          <w:tcPr>
            <w:tcW w:type="dxa" w:w="4535"/>
          </w:tcPr>
          <w:p>
            <w:pPr>
              <w:jc w:val="left"/>
            </w:pPr>
            <w:r/>
            <w:r>
              <w:t>Projekte gesamt</w:t>
            </w:r>
          </w:p>
        </w:tc>
        <w:tc>
          <w:tcPr>
            <w:tcW w:type="dxa" w:w="1701"/>
          </w:tcPr>
          <w:p>
            <w:pPr>
              <w:jc w:val="center"/>
            </w:pPr>
            <w:r/>
            <w:r>
              <w:t>5</w:t>
            </w:r>
          </w:p>
        </w:tc>
      </w:tr>
      <w:tr>
        <w:tc>
          <w:tcPr>
            <w:tcW w:type="dxa" w:w="4535"/>
          </w:tcPr>
          <w:p>
            <w:pPr>
              <w:jc w:val="left"/>
            </w:pPr>
            <w:r/>
            <w:r>
              <w:t>Kritische Projekte</w:t>
            </w:r>
          </w:p>
        </w:tc>
        <w:tc>
          <w:tcPr>
            <w:tcW w:type="dxa" w:w="1701"/>
          </w:tcPr>
          <w:p>
            <w:pPr>
              <w:jc w:val="center"/>
            </w:pPr>
            <w:r/>
            <w:r>
              <w:t>4</w:t>
            </w:r>
          </w:p>
        </w:tc>
      </w:tr>
      <w:tr>
        <w:tc>
          <w:tcPr>
            <w:tcW w:type="dxa" w:w="4535"/>
          </w:tcPr>
          <w:p>
            <w:pPr>
              <w:jc w:val="left"/>
            </w:pPr>
            <w:r/>
            <w:r>
              <w:t>Ø Dringlichkeit (U)</w:t>
            </w:r>
          </w:p>
        </w:tc>
        <w:tc>
          <w:tcPr>
            <w:tcW w:type="dxa" w:w="1701"/>
          </w:tcPr>
          <w:p>
            <w:pPr>
              <w:jc w:val="center"/>
            </w:pPr>
            <w:r/>
            <w:r>
              <w:t>3.4</w:t>
            </w:r>
          </w:p>
        </w:tc>
      </w:tr>
      <w:tr>
        <w:tc>
          <w:tcPr>
            <w:tcW w:type="dxa" w:w="4535"/>
          </w:tcPr>
          <w:p>
            <w:pPr>
              <w:jc w:val="left"/>
            </w:pPr>
            <w:r/>
            <w:r>
              <w:t>Ø Wichtigkeit (I)</w:t>
            </w:r>
          </w:p>
        </w:tc>
        <w:tc>
          <w:tcPr>
            <w:tcW w:type="dxa" w:w="1701"/>
          </w:tcPr>
          <w:p>
            <w:pPr>
              <w:jc w:val="center"/>
            </w:pPr>
            <w:r/>
            <w:r>
              <w:t>4.2</w:t>
            </w:r>
          </w:p>
        </w:tc>
      </w:tr>
      <w:tr>
        <w:tc>
          <w:tcPr>
            <w:tcW w:type="dxa" w:w="4535"/>
          </w:tcPr>
          <w:p>
            <w:pPr>
              <w:jc w:val="left"/>
            </w:pPr>
            <w:r/>
            <w:r>
              <w:t>Ø Komplexität (C)</w:t>
            </w:r>
          </w:p>
        </w:tc>
        <w:tc>
          <w:tcPr>
            <w:tcW w:type="dxa" w:w="1701"/>
          </w:tcPr>
          <w:p>
            <w:pPr>
              <w:jc w:val="center"/>
            </w:pPr>
            <w:r/>
            <w:r>
              <w:t>4.2</w:t>
            </w:r>
          </w:p>
        </w:tc>
      </w:tr>
      <w:tr>
        <w:tc>
          <w:tcPr>
            <w:tcW w:type="dxa" w:w="4535"/>
          </w:tcPr>
          <w:p>
            <w:pPr>
              <w:jc w:val="left"/>
            </w:pPr>
            <w:r/>
            <w:r>
              <w:t>Ø Risiko (R)</w:t>
            </w:r>
          </w:p>
        </w:tc>
        <w:tc>
          <w:tcPr>
            <w:tcW w:type="dxa" w:w="1701"/>
          </w:tcPr>
          <w:p>
            <w:pPr>
              <w:jc w:val="center"/>
            </w:pPr>
            <w:r/>
            <w:r>
              <w:t>4.6</w:t>
            </w:r>
          </w:p>
        </w:tc>
      </w:tr>
      <w:tr>
        <w:tc>
          <w:tcPr>
            <w:tcW w:type="dxa" w:w="4535"/>
          </w:tcPr>
          <w:p>
            <w:pPr>
              <w:jc w:val="left"/>
            </w:pPr>
            <w:r/>
            <w:r>
              <w:t>Ø Datenqualität (DQ)</w:t>
            </w:r>
          </w:p>
        </w:tc>
        <w:tc>
          <w:tcPr>
            <w:tcW w:type="dxa" w:w="1701"/>
          </w:tcPr>
          <w:p>
            <w:pPr>
              <w:jc w:val="center"/>
            </w:pPr>
            <w:r/>
            <w:r>
              <w:t>1.0</w:t>
            </w:r>
          </w:p>
        </w:tc>
      </w:tr>
    </w:tbl>
    <w:p>
      <w:pPr>
        <w:pStyle w:val="Heading1"/>
      </w:pPr>
      <w:r>
        <w:rPr>
          <w:color w:val="016BD5"/>
        </w:rPr>
        <w:t>Portfolio-Übersicht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3402"/>
            <w:shd w:fill="016BD5" w:val="clear"/>
          </w:tcPr>
          <w:p>
            <w:pPr>
              <w:jc w:val="left"/>
            </w:pPr>
            <w:r/>
            <w:r>
              <w:rPr>
                <w:b/>
                <w:color w:val="FFFFFF"/>
              </w:rPr>
              <w:t>Projekt</w:t>
            </w:r>
          </w:p>
        </w:tc>
        <w:tc>
          <w:tcPr>
            <w:tcW w:type="dxa" w:w="850"/>
            <w:shd w:fill="016BD5" w:val="clear"/>
          </w:tcPr>
          <w:p>
            <w:pPr>
              <w:jc w:val="center"/>
            </w:pPr>
            <w:r/>
            <w:r>
              <w:rPr>
                <w:b/>
                <w:color w:val="FFFFFF"/>
              </w:rPr>
              <w:t>U</w:t>
            </w:r>
          </w:p>
        </w:tc>
        <w:tc>
          <w:tcPr>
            <w:tcW w:type="dxa" w:w="850"/>
            <w:shd w:fill="016BD5" w:val="clear"/>
          </w:tcPr>
          <w:p>
            <w:pPr>
              <w:jc w:val="center"/>
            </w:pPr>
            <w:r/>
            <w:r>
              <w:rPr>
                <w:b/>
                <w:color w:val="FFFFFF"/>
              </w:rPr>
              <w:t>I</w:t>
            </w:r>
          </w:p>
        </w:tc>
        <w:tc>
          <w:tcPr>
            <w:tcW w:type="dxa" w:w="850"/>
            <w:shd w:fill="016BD5" w:val="clear"/>
          </w:tcPr>
          <w:p>
            <w:pPr>
              <w:jc w:val="center"/>
            </w:pPr>
            <w:r/>
            <w:r>
              <w:rPr>
                <w:b/>
                <w:color w:val="FFFFFF"/>
              </w:rPr>
              <w:t>C</w:t>
            </w:r>
          </w:p>
        </w:tc>
        <w:tc>
          <w:tcPr>
            <w:tcW w:type="dxa" w:w="850"/>
            <w:shd w:fill="016BD5" w:val="clear"/>
          </w:tcPr>
          <w:p>
            <w:pPr>
              <w:jc w:val="center"/>
            </w:pPr>
            <w:r/>
            <w:r>
              <w:rPr>
                <w:b/>
                <w:color w:val="FFFFFF"/>
              </w:rPr>
              <w:t>R</w:t>
            </w:r>
          </w:p>
        </w:tc>
        <w:tc>
          <w:tcPr>
            <w:tcW w:type="dxa" w:w="850"/>
            <w:shd w:fill="016BD5" w:val="clear"/>
          </w:tcPr>
          <w:p>
            <w:pPr>
              <w:jc w:val="center"/>
            </w:pPr>
            <w:r/>
            <w:r>
              <w:rPr>
                <w:b/>
                <w:color w:val="FFFFFF"/>
              </w:rPr>
              <w:t>DQ</w:t>
            </w:r>
          </w:p>
        </w:tc>
        <w:tc>
          <w:tcPr>
            <w:tcW w:type="dxa" w:w="1134"/>
            <w:shd w:fill="016BD5" w:val="clear"/>
          </w:tcPr>
          <w:p>
            <w:pPr>
              <w:jc w:val="center"/>
            </w:pPr>
            <w:r/>
            <w:r>
              <w:rPr>
                <w:b/>
                <w:color w:val="FFFFFF"/>
              </w:rPr>
              <w:t>Status</w:t>
            </w:r>
          </w:p>
        </w:tc>
      </w:tr>
      <w:tr>
        <w:tc>
          <w:tcPr>
            <w:tcW w:type="dxa" w:w="3402"/>
          </w:tcPr>
          <w:p>
            <w:pPr>
              <w:jc w:val="left"/>
            </w:pPr>
            <w:r/>
            <w:r>
              <w:t>CRM-System Migration</w:t>
            </w:r>
          </w:p>
        </w:tc>
        <w:tc>
          <w:tcPr>
            <w:tcW w:type="dxa" w:w="850"/>
          </w:tcPr>
          <w:p>
            <w:pPr>
              <w:jc w:val="center"/>
            </w:pPr>
            <w:r/>
            <w:r>
              <w:t>2</w:t>
            </w:r>
          </w:p>
        </w:tc>
        <w:tc>
          <w:tcPr>
            <w:tcW w:type="dxa" w:w="850"/>
          </w:tcPr>
          <w:p>
            <w:pPr>
              <w:jc w:val="center"/>
            </w:pPr>
            <w:r/>
            <w:r>
              <w:t>4</w:t>
            </w:r>
          </w:p>
        </w:tc>
        <w:tc>
          <w:tcPr>
            <w:tcW w:type="dxa" w:w="850"/>
          </w:tcPr>
          <w:p>
            <w:pPr>
              <w:jc w:val="center"/>
            </w:pPr>
            <w:r/>
            <w:r>
              <w:t>4</w:t>
            </w:r>
          </w:p>
        </w:tc>
        <w:tc>
          <w:tcPr>
            <w:tcW w:type="dxa" w:w="850"/>
          </w:tcPr>
          <w:p>
            <w:pPr>
              <w:jc w:val="center"/>
            </w:pPr>
            <w:r/>
            <w:r>
              <w:t>4</w:t>
            </w:r>
          </w:p>
        </w:tc>
        <w:tc>
          <w:tcPr>
            <w:tcW w:type="dxa" w:w="850"/>
          </w:tcPr>
          <w:p>
            <w:pPr>
              <w:jc w:val="center"/>
            </w:pPr>
            <w:r/>
            <w:r>
              <w:t>1</w:t>
            </w:r>
          </w:p>
        </w:tc>
        <w:tc>
          <w:tcPr>
            <w:tcW w:type="dxa" w:w="1134"/>
          </w:tcPr>
          <w:p>
            <w:pPr>
              <w:jc w:val="center"/>
            </w:pPr>
            <w:r/>
            <w:r>
              <w:rPr>
                <w:b/>
                <w:color w:val="808080"/>
              </w:rPr>
              <w:t>○</w:t>
            </w:r>
          </w:p>
        </w:tc>
      </w:tr>
      <w:tr>
        <w:tc>
          <w:tcPr>
            <w:tcW w:type="dxa" w:w="3402"/>
          </w:tcPr>
          <w:p>
            <w:pPr>
              <w:jc w:val="left"/>
            </w:pPr>
            <w:r/>
            <w:r>
              <w:t>Digitale Dokumentenverwaltung</w:t>
            </w:r>
          </w:p>
        </w:tc>
        <w:tc>
          <w:tcPr>
            <w:tcW w:type="dxa" w:w="850"/>
          </w:tcPr>
          <w:p>
            <w:pPr>
              <w:jc w:val="center"/>
            </w:pPr>
            <w:r/>
            <w:r>
              <w:t>4</w:t>
            </w:r>
          </w:p>
        </w:tc>
        <w:tc>
          <w:tcPr>
            <w:tcW w:type="dxa" w:w="850"/>
          </w:tcPr>
          <w:p>
            <w:pPr>
              <w:jc w:val="center"/>
            </w:pPr>
            <w:r/>
            <w:r>
              <w:t>3</w:t>
            </w:r>
          </w:p>
        </w:tc>
        <w:tc>
          <w:tcPr>
            <w:tcW w:type="dxa" w:w="850"/>
          </w:tcPr>
          <w:p>
            <w:pPr>
              <w:jc w:val="center"/>
            </w:pPr>
            <w:r/>
            <w:r>
              <w:t>3</w:t>
            </w:r>
          </w:p>
        </w:tc>
        <w:tc>
          <w:tcPr>
            <w:tcW w:type="dxa" w:w="850"/>
          </w:tcPr>
          <w:p>
            <w:pPr>
              <w:jc w:val="center"/>
            </w:pPr>
            <w:r/>
            <w:r>
              <w:t>4</w:t>
            </w:r>
          </w:p>
        </w:tc>
        <w:tc>
          <w:tcPr>
            <w:tcW w:type="dxa" w:w="850"/>
          </w:tcPr>
          <w:p>
            <w:pPr>
              <w:jc w:val="center"/>
            </w:pPr>
            <w:r/>
            <w:r>
              <w:t>1</w:t>
            </w:r>
          </w:p>
        </w:tc>
        <w:tc>
          <w:tcPr>
            <w:tcW w:type="dxa" w:w="1134"/>
          </w:tcPr>
          <w:p>
            <w:pPr>
              <w:jc w:val="center"/>
            </w:pPr>
            <w:r/>
            <w:r>
              <w:rPr>
                <w:b/>
                <w:color w:val="808080"/>
              </w:rPr>
              <w:t>○</w:t>
            </w:r>
          </w:p>
        </w:tc>
      </w:tr>
      <w:tr>
        <w:tc>
          <w:tcPr>
            <w:tcW w:type="dxa" w:w="3402"/>
          </w:tcPr>
          <w:p>
            <w:pPr>
              <w:jc w:val="left"/>
            </w:pPr>
            <w:r/>
            <w:r>
              <w:t>Enterprise-Cloud-Migration</w:t>
            </w:r>
          </w:p>
        </w:tc>
        <w:tc>
          <w:tcPr>
            <w:tcW w:type="dxa" w:w="850"/>
          </w:tcPr>
          <w:p>
            <w:pPr>
              <w:jc w:val="center"/>
            </w:pPr>
            <w:r/>
            <w:r>
              <w:t>3</w:t>
            </w:r>
          </w:p>
        </w:tc>
        <w:tc>
          <w:tcPr>
            <w:tcW w:type="dxa" w:w="850"/>
          </w:tcPr>
          <w:p>
            <w:pPr>
              <w:jc w:val="center"/>
            </w:pPr>
            <w:r/>
            <w:r>
              <w:t>5</w:t>
            </w:r>
          </w:p>
        </w:tc>
        <w:tc>
          <w:tcPr>
            <w:tcW w:type="dxa" w:w="850"/>
          </w:tcPr>
          <w:p>
            <w:pPr>
              <w:jc w:val="center"/>
            </w:pPr>
            <w:r/>
            <w:r>
              <w:t>5</w:t>
            </w:r>
          </w:p>
        </w:tc>
        <w:tc>
          <w:tcPr>
            <w:tcW w:type="dxa" w:w="850"/>
          </w:tcPr>
          <w:p>
            <w:pPr>
              <w:jc w:val="center"/>
            </w:pPr>
            <w:r/>
            <w:r>
              <w:t>5</w:t>
            </w:r>
          </w:p>
        </w:tc>
        <w:tc>
          <w:tcPr>
            <w:tcW w:type="dxa" w:w="850"/>
          </w:tcPr>
          <w:p>
            <w:pPr>
              <w:jc w:val="center"/>
            </w:pPr>
            <w:r/>
            <w:r>
              <w:t>1</w:t>
            </w:r>
          </w:p>
        </w:tc>
        <w:tc>
          <w:tcPr>
            <w:tcW w:type="dxa" w:w="1134"/>
          </w:tcPr>
          <w:p>
            <w:pPr>
              <w:jc w:val="center"/>
            </w:pPr>
            <w:r/>
            <w:r>
              <w:rPr>
                <w:b/>
                <w:color w:val="808080"/>
              </w:rPr>
              <w:t>○</w:t>
            </w:r>
          </w:p>
        </w:tc>
      </w:tr>
      <w:tr>
        <w:tc>
          <w:tcPr>
            <w:tcW w:type="dxa" w:w="3402"/>
          </w:tcPr>
          <w:p>
            <w:pPr>
              <w:jc w:val="left"/>
            </w:pPr>
            <w:r/>
            <w:r>
              <w:t>IT-Sicherheitsinitiative Zero-Trust</w:t>
            </w:r>
          </w:p>
        </w:tc>
        <w:tc>
          <w:tcPr>
            <w:tcW w:type="dxa" w:w="850"/>
          </w:tcPr>
          <w:p>
            <w:pPr>
              <w:jc w:val="center"/>
            </w:pPr>
            <w:r/>
            <w:r>
              <w:t>4</w:t>
            </w:r>
          </w:p>
        </w:tc>
        <w:tc>
          <w:tcPr>
            <w:tcW w:type="dxa" w:w="850"/>
          </w:tcPr>
          <w:p>
            <w:pPr>
              <w:jc w:val="center"/>
            </w:pPr>
            <w:r/>
            <w:r>
              <w:t>5</w:t>
            </w:r>
          </w:p>
        </w:tc>
        <w:tc>
          <w:tcPr>
            <w:tcW w:type="dxa" w:w="850"/>
          </w:tcPr>
          <w:p>
            <w:pPr>
              <w:jc w:val="center"/>
            </w:pPr>
            <w:r/>
            <w:r>
              <w:t>5</w:t>
            </w:r>
          </w:p>
        </w:tc>
        <w:tc>
          <w:tcPr>
            <w:tcW w:type="dxa" w:w="850"/>
          </w:tcPr>
          <w:p>
            <w:pPr>
              <w:jc w:val="center"/>
            </w:pPr>
            <w:r/>
            <w:r>
              <w:t>5</w:t>
            </w:r>
          </w:p>
        </w:tc>
        <w:tc>
          <w:tcPr>
            <w:tcW w:type="dxa" w:w="850"/>
          </w:tcPr>
          <w:p>
            <w:pPr>
              <w:jc w:val="center"/>
            </w:pPr>
            <w:r/>
            <w:r>
              <w:t>1</w:t>
            </w:r>
          </w:p>
        </w:tc>
        <w:tc>
          <w:tcPr>
            <w:tcW w:type="dxa" w:w="1134"/>
          </w:tcPr>
          <w:p>
            <w:pPr>
              <w:jc w:val="center"/>
            </w:pPr>
            <w:r/>
            <w:r>
              <w:rPr>
                <w:b/>
                <w:color w:val="808080"/>
              </w:rPr>
              <w:t>○</w:t>
            </w:r>
          </w:p>
        </w:tc>
      </w:tr>
      <w:tr>
        <w:tc>
          <w:tcPr>
            <w:tcW w:type="dxa" w:w="3402"/>
          </w:tcPr>
          <w:p>
            <w:pPr>
              <w:jc w:val="left"/>
            </w:pPr>
            <w:r/>
            <w:r>
              <w:t>Werk2-Maschinenverlagerung</w:t>
            </w:r>
          </w:p>
        </w:tc>
        <w:tc>
          <w:tcPr>
            <w:tcW w:type="dxa" w:w="850"/>
          </w:tcPr>
          <w:p>
            <w:pPr>
              <w:jc w:val="center"/>
            </w:pPr>
            <w:r/>
            <w:r>
              <w:t>4</w:t>
            </w:r>
          </w:p>
        </w:tc>
        <w:tc>
          <w:tcPr>
            <w:tcW w:type="dxa" w:w="850"/>
          </w:tcPr>
          <w:p>
            <w:pPr>
              <w:jc w:val="center"/>
            </w:pPr>
            <w:r/>
            <w:r>
              <w:t>4</w:t>
            </w:r>
          </w:p>
        </w:tc>
        <w:tc>
          <w:tcPr>
            <w:tcW w:type="dxa" w:w="850"/>
          </w:tcPr>
          <w:p>
            <w:pPr>
              <w:jc w:val="center"/>
            </w:pPr>
            <w:r/>
            <w:r>
              <w:t>4</w:t>
            </w:r>
          </w:p>
        </w:tc>
        <w:tc>
          <w:tcPr>
            <w:tcW w:type="dxa" w:w="850"/>
          </w:tcPr>
          <w:p>
            <w:pPr>
              <w:jc w:val="center"/>
            </w:pPr>
            <w:r/>
            <w:r>
              <w:t>5</w:t>
            </w:r>
          </w:p>
        </w:tc>
        <w:tc>
          <w:tcPr>
            <w:tcW w:type="dxa" w:w="850"/>
          </w:tcPr>
          <w:p>
            <w:pPr>
              <w:jc w:val="center"/>
            </w:pPr>
            <w:r/>
            <w:r>
              <w:t>1</w:t>
            </w:r>
          </w:p>
        </w:tc>
        <w:tc>
          <w:tcPr>
            <w:tcW w:type="dxa" w:w="1134"/>
          </w:tcPr>
          <w:p>
            <w:pPr>
              <w:jc w:val="center"/>
            </w:pPr>
            <w:r/>
            <w:r>
              <w:rPr>
                <w:b/>
                <w:color w:val="808080"/>
              </w:rPr>
              <w:t>○</w:t>
            </w:r>
          </w:p>
        </w:tc>
      </w:tr>
    </w:tbl>
    <w:p>
      <w:pPr>
        <w:spacing w:before="0" w:after="120"/>
        <w:jc w:val="left"/>
      </w:pPr>
      <w:r>
        <w:rPr>
          <w:rFonts w:ascii="Calibri" w:hAnsi="Calibri"/>
          <w:b w:val="0"/>
          <w:i w:val="0"/>
          <w:color w:val="808080"/>
          <w:sz w:val="22"/>
          <w:u w:val="none"/>
        </w:rPr>
        <w:br/>
        <w:t>Skala: 1=sehr niedrig, 2=niedrig, 3=mittel, 4=hoch, 5=sehr hoch</w:t>
      </w:r>
    </w:p>
    <w:p>
      <w:pPr>
        <w:pStyle w:val="Heading1"/>
      </w:pPr>
      <w:r>
        <w:rPr>
          <w:color w:val="016BD5"/>
        </w:rPr>
        <w:t>Projektbewertungen im Detail</w:t>
      </w:r>
    </w:p>
    <w:p>
      <w:pPr>
        <w:spacing w:before="0" w:after="120"/>
        <w:jc w:val="left"/>
      </w:pPr>
      <w:r>
        <w:rPr>
          <w:rFonts w:ascii="Calibri" w:hAnsi="Calibri"/>
          <w:b/>
          <w:i w:val="0"/>
          <w:color w:val="008DCA"/>
          <w:sz w:val="22"/>
          <w:u w:val="none"/>
        </w:rPr>
        <w:br/>
        <w:t>CRM-System Migration</w:t>
      </w:r>
    </w:p>
    <w:p>
      <w:pPr>
        <w:spacing w:before="0" w:after="120"/>
        <w:jc w:val="left"/>
      </w:pPr>
      <w:r>
        <w:rPr>
          <w:rFonts w:ascii="Calibri" w:hAnsi="Calibri"/>
          <w:b w:val="0"/>
          <w:i w:val="0"/>
          <w:color w:val="808080"/>
          <w:sz w:val="22"/>
          <w:u w:val="none"/>
        </w:rPr>
        <w:t>Fortschritt: 100% | Meilensteine: 3/3</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8DCA" w:val="clear"/>
          </w:tcPr>
          <w:p>
            <w:pPr>
              <w:jc w:val="left"/>
            </w:pPr>
            <w:r/>
            <w:r>
              <w:rPr>
                <w:b/>
                <w:color w:val="FFFFFF"/>
              </w:rPr>
              <w:t>Dimension</w:t>
            </w:r>
          </w:p>
        </w:tc>
        <w:tc>
          <w:tcPr>
            <w:tcW w:type="dxa" w:w="1417"/>
            <w:shd w:fill="008DCA" w:val="clear"/>
          </w:tcPr>
          <w:p>
            <w:pPr>
              <w:jc w:val="center"/>
            </w:pPr>
            <w:r/>
            <w:r>
              <w:rPr>
                <w:b/>
                <w:color w:val="FFFFFF"/>
              </w:rPr>
              <w:t>Score</w:t>
            </w:r>
          </w:p>
        </w:tc>
        <w:tc>
          <w:tcPr>
            <w:tcW w:type="dxa" w:w="5102"/>
            <w:shd w:fill="008DCA" w:val="clear"/>
          </w:tcPr>
          <w:p>
            <w:pPr>
              <w:jc w:val="left"/>
            </w:pPr>
            <w:r/>
            <w:r>
              <w:rPr>
                <w:b/>
                <w:color w:val="FFFFFF"/>
              </w:rPr>
              <w:t>Begründung</w:t>
            </w:r>
          </w:p>
        </w:tc>
      </w:tr>
      <w:tr>
        <w:tc>
          <w:tcPr>
            <w:tcW w:type="dxa" w:w="2268"/>
          </w:tcPr>
          <w:p>
            <w:pPr>
              <w:jc w:val="left"/>
            </w:pPr>
            <w:r/>
            <w:r>
              <w:t>U (Dringlichkeit)</w:t>
            </w:r>
          </w:p>
        </w:tc>
        <w:tc>
          <w:tcPr>
            <w:tcW w:type="dxa" w:w="1417"/>
          </w:tcPr>
          <w:p>
            <w:pPr>
              <w:jc w:val="center"/>
            </w:pPr>
            <w:r/>
            <w:r>
              <w:rPr>
                <w:color w:val="84CC16"/>
              </w:rPr>
              <w:t>●●○○○</w:t>
            </w:r>
          </w:p>
        </w:tc>
        <w:tc>
          <w:tcPr>
            <w:tcW w:type="dxa" w:w="5102"/>
          </w:tcPr>
          <w:p>
            <w:pPr>
              <w:jc w:val="left"/>
            </w:pPr>
            <w:r/>
            <w:r>
              <w:t>Projekt ist zu 100% abgeschlossen, der Terminverzug liegt in der Vergangenheit. Aktueller Zeitdruck ist gering.</w:t>
            </w:r>
          </w:p>
        </w:tc>
      </w:tr>
      <w:tr>
        <w:tc>
          <w:tcPr>
            <w:tcW w:type="dxa" w:w="2268"/>
          </w:tcPr>
          <w:p>
            <w:pPr>
              <w:jc w:val="left"/>
            </w:pPr>
            <w:r/>
            <w:r>
              <w:t>I (Wichtigkeit)</w:t>
            </w:r>
          </w:p>
        </w:tc>
        <w:tc>
          <w:tcPr>
            <w:tcW w:type="dxa" w:w="1417"/>
          </w:tcPr>
          <w:p>
            <w:pPr>
              <w:jc w:val="center"/>
            </w:pPr>
            <w:r/>
            <w:r>
              <w:rPr>
                <w:color w:val="F97316"/>
              </w:rPr>
              <w:t>●●●●○</w:t>
            </w:r>
          </w:p>
        </w:tc>
        <w:tc>
          <w:tcPr>
            <w:tcW w:type="dxa" w:w="5102"/>
          </w:tcPr>
          <w:p>
            <w:pPr>
              <w:jc w:val="left"/>
            </w:pPr>
            <w:r/>
            <w:r>
              <w:t>CRM-Migrationen sind in der Regel von hoher strategischer Bedeutung für Kundenbeziehungen und Geschäftsprozesse.</w:t>
            </w:r>
          </w:p>
        </w:tc>
      </w:tr>
      <w:tr>
        <w:tc>
          <w:tcPr>
            <w:tcW w:type="dxa" w:w="2268"/>
          </w:tcPr>
          <w:p>
            <w:pPr>
              <w:jc w:val="left"/>
            </w:pPr>
            <w:r/>
            <w:r>
              <w:t>C (Komplexität)</w:t>
            </w:r>
          </w:p>
        </w:tc>
        <w:tc>
          <w:tcPr>
            <w:tcW w:type="dxa" w:w="1417"/>
          </w:tcPr>
          <w:p>
            <w:pPr>
              <w:jc w:val="center"/>
            </w:pPr>
            <w:r/>
            <w:r>
              <w:rPr>
                <w:color w:val="F97316"/>
              </w:rPr>
              <w:t>●●●●○</w:t>
            </w:r>
          </w:p>
        </w:tc>
        <w:tc>
          <w:tcPr>
            <w:tcW w:type="dxa" w:w="5102"/>
          </w:tcPr>
          <w:p>
            <w:pPr>
              <w:jc w:val="left"/>
            </w:pPr>
            <w:r/>
            <w:r>
              <w:t>Migration eines CRM-Systems ist typischerweise komplex bezüglich Daten, Integration und Benutzerakzeptanz.</w:t>
            </w:r>
          </w:p>
        </w:tc>
      </w:tr>
      <w:tr>
        <w:tc>
          <w:tcPr>
            <w:tcW w:type="dxa" w:w="2268"/>
          </w:tcPr>
          <w:p>
            <w:pPr>
              <w:jc w:val="left"/>
            </w:pPr>
            <w:r/>
            <w:r>
              <w:t>R (Risiko)</w:t>
            </w:r>
          </w:p>
        </w:tc>
        <w:tc>
          <w:tcPr>
            <w:tcW w:type="dxa" w:w="1417"/>
          </w:tcPr>
          <w:p>
            <w:pPr>
              <w:jc w:val="center"/>
            </w:pPr>
            <w:r/>
            <w:r>
              <w:rPr>
                <w:color w:val="F97316"/>
              </w:rPr>
              <w:t>●●●●○</w:t>
            </w:r>
          </w:p>
        </w:tc>
        <w:tc>
          <w:tcPr>
            <w:tcW w:type="dxa" w:w="5102"/>
          </w:tcPr>
          <w:p>
            <w:pPr>
              <w:jc w:val="left"/>
            </w:pPr>
            <w:r/>
            <w:r>
              <w:t>Die Widersprüche in den Daten (0h Ist-Aufwand bei 100% Fortschritt, 129 Tage Terminverzug) deuten auf ein hohes Reporting- und Prozessrisiko hin.</w:t>
            </w:r>
          </w:p>
        </w:tc>
      </w:tr>
      <w:tr>
        <w:tc>
          <w:tcPr>
            <w:tcW w:type="dxa" w:w="2268"/>
          </w:tcPr>
          <w:p>
            <w:pPr>
              <w:jc w:val="left"/>
            </w:pPr>
            <w:r/>
            <w:r>
              <w:t>DQ (Datenqualität)</w:t>
            </w:r>
          </w:p>
        </w:tc>
        <w:tc>
          <w:tcPr>
            <w:tcW w:type="dxa" w:w="1417"/>
          </w:tcPr>
          <w:p>
            <w:pPr>
              <w:jc w:val="center"/>
            </w:pPr>
            <w:r/>
            <w:r>
              <w:rPr>
                <w:color w:val="22C55E"/>
              </w:rPr>
              <w:t>●○○○○</w:t>
            </w:r>
          </w:p>
        </w:tc>
        <w:tc>
          <w:tcPr>
            <w:tcW w:type="dxa" w:w="5102"/>
          </w:tcPr>
          <w:p>
            <w:pPr>
              <w:jc w:val="left"/>
            </w:pPr>
            <w:r/>
            <w:r>
              <w:t>Starke Widersprüche: 0h Ist-Aufwand bei 100% Fortschritt und abgeschlossenen Meilensteinen, zudem in der Vergangenheit liegende Daten mit aktuellem Verzug.</w:t>
            </w:r>
          </w:p>
        </w:tc>
      </w:tr>
    </w:tbl>
    <w:p>
      <w:pPr>
        <w:spacing w:before="0" w:after="120"/>
        <w:jc w:val="left"/>
      </w:pPr>
      <w:r>
        <w:t>Einschätzung: Das Projekt wird als 100% abgeschlossen gemeldet, weist aber erhebliche Dateninkonsistenzen und einen hohen Terminverzug auf. Die Datenqualität ist extrem niedrig, was eine verlässliche Bewertung erschwert.</w:t>
      </w:r>
    </w:p>
    <w:p>
      <w:pPr>
        <w:spacing w:before="0" w:after="120"/>
        <w:jc w:val="left"/>
      </w:pPr>
      <w:r>
        <w:rPr>
          <w:rFonts w:ascii="Calibri" w:hAnsi="Calibri"/>
          <w:b/>
          <w:i w:val="0"/>
          <w:color w:val="008DCA"/>
          <w:sz w:val="22"/>
          <w:u w:val="none"/>
        </w:rPr>
        <w:br/>
        <w:t>Digitale Dokumentenverwaltung</w:t>
      </w:r>
    </w:p>
    <w:p>
      <w:pPr>
        <w:spacing w:before="0" w:after="120"/>
        <w:jc w:val="left"/>
      </w:pPr>
      <w:r>
        <w:rPr>
          <w:rFonts w:ascii="Calibri" w:hAnsi="Calibri"/>
          <w:b w:val="0"/>
          <w:i w:val="0"/>
          <w:color w:val="808080"/>
          <w:sz w:val="22"/>
          <w:u w:val="none"/>
        </w:rPr>
        <w:t>Fortschritt: 90% | Meilensteine: 2/3 | (1 verzögert)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8DCA" w:val="clear"/>
          </w:tcPr>
          <w:p>
            <w:pPr>
              <w:jc w:val="left"/>
            </w:pPr>
            <w:r/>
            <w:r>
              <w:rPr>
                <w:b/>
                <w:color w:val="FFFFFF"/>
              </w:rPr>
              <w:t>Dimension</w:t>
            </w:r>
          </w:p>
        </w:tc>
        <w:tc>
          <w:tcPr>
            <w:tcW w:type="dxa" w:w="1417"/>
            <w:shd w:fill="008DCA" w:val="clear"/>
          </w:tcPr>
          <w:p>
            <w:pPr>
              <w:jc w:val="center"/>
            </w:pPr>
            <w:r/>
            <w:r>
              <w:rPr>
                <w:b/>
                <w:color w:val="FFFFFF"/>
              </w:rPr>
              <w:t>Score</w:t>
            </w:r>
          </w:p>
        </w:tc>
        <w:tc>
          <w:tcPr>
            <w:tcW w:type="dxa" w:w="5102"/>
            <w:shd w:fill="008DCA" w:val="clear"/>
          </w:tcPr>
          <w:p>
            <w:pPr>
              <w:jc w:val="left"/>
            </w:pPr>
            <w:r/>
            <w:r>
              <w:rPr>
                <w:b/>
                <w:color w:val="FFFFFF"/>
              </w:rPr>
              <w:t>Begründung</w:t>
            </w:r>
          </w:p>
        </w:tc>
      </w:tr>
      <w:tr>
        <w:tc>
          <w:tcPr>
            <w:tcW w:type="dxa" w:w="2268"/>
          </w:tcPr>
          <w:p>
            <w:pPr>
              <w:jc w:val="left"/>
            </w:pPr>
            <w:r/>
            <w:r>
              <w:t>U (Dringlichkeit)</w:t>
            </w:r>
          </w:p>
        </w:tc>
        <w:tc>
          <w:tcPr>
            <w:tcW w:type="dxa" w:w="1417"/>
          </w:tcPr>
          <w:p>
            <w:pPr>
              <w:jc w:val="center"/>
            </w:pPr>
            <w:r/>
            <w:r>
              <w:rPr>
                <w:color w:val="F97316"/>
              </w:rPr>
              <w:t>●●●●○</w:t>
            </w:r>
          </w:p>
        </w:tc>
        <w:tc>
          <w:tcPr>
            <w:tcW w:type="dxa" w:w="5102"/>
          </w:tcPr>
          <w:p>
            <w:pPr>
              <w:jc w:val="left"/>
            </w:pPr>
            <w:r/>
            <w:r>
              <w:t>Projekt hat 90% Fortschritt, einen verzögerten Meilenstein und 38 Tage Terminverzug, obwohl das geplante Ende noch in der Zukunft liegt.</w:t>
            </w:r>
          </w:p>
        </w:tc>
      </w:tr>
      <w:tr>
        <w:tc>
          <w:tcPr>
            <w:tcW w:type="dxa" w:w="2268"/>
          </w:tcPr>
          <w:p>
            <w:pPr>
              <w:jc w:val="left"/>
            </w:pPr>
            <w:r/>
            <w:r>
              <w:t>I (Wichtigkeit)</w:t>
            </w:r>
          </w:p>
        </w:tc>
        <w:tc>
          <w:tcPr>
            <w:tcW w:type="dxa" w:w="1417"/>
          </w:tcPr>
          <w:p>
            <w:pPr>
              <w:jc w:val="center"/>
            </w:pPr>
            <w:r/>
            <w:r>
              <w:rPr>
                <w:color w:val="EAB308"/>
              </w:rPr>
              <w:t>●●●○○</w:t>
            </w:r>
          </w:p>
        </w:tc>
        <w:tc>
          <w:tcPr>
            <w:tcW w:type="dxa" w:w="5102"/>
          </w:tcPr>
          <w:p>
            <w:pPr>
              <w:jc w:val="left"/>
            </w:pPr>
            <w:r/>
            <w:r>
              <w:t>Digitale Dokumentenverwaltung verbessert oft Effizienz und Compliance, ist aber ohne weitere Details nicht unmittelbar unternehmenskritisch.</w:t>
            </w:r>
          </w:p>
        </w:tc>
      </w:tr>
      <w:tr>
        <w:tc>
          <w:tcPr>
            <w:tcW w:type="dxa" w:w="2268"/>
          </w:tcPr>
          <w:p>
            <w:pPr>
              <w:jc w:val="left"/>
            </w:pPr>
            <w:r/>
            <w:r>
              <w:t>C (Komplexität)</w:t>
            </w:r>
          </w:p>
        </w:tc>
        <w:tc>
          <w:tcPr>
            <w:tcW w:type="dxa" w:w="1417"/>
          </w:tcPr>
          <w:p>
            <w:pPr>
              <w:jc w:val="center"/>
            </w:pPr>
            <w:r/>
            <w:r>
              <w:rPr>
                <w:color w:val="EAB308"/>
              </w:rPr>
              <w:t>●●●○○</w:t>
            </w:r>
          </w:p>
        </w:tc>
        <w:tc>
          <w:tcPr>
            <w:tcW w:type="dxa" w:w="5102"/>
          </w:tcPr>
          <w:p>
            <w:pPr>
              <w:jc w:val="left"/>
            </w:pPr>
            <w:r/>
            <w:r>
              <w:t>Die Komplexität hängt vom Integrationsgrad ab, ist aber bei 90% Fortschritt als mittel einzuschätzen.</w:t>
            </w:r>
          </w:p>
        </w:tc>
      </w:tr>
      <w:tr>
        <w:tc>
          <w:tcPr>
            <w:tcW w:type="dxa" w:w="2268"/>
          </w:tcPr>
          <w:p>
            <w:pPr>
              <w:jc w:val="left"/>
            </w:pPr>
            <w:r/>
            <w:r>
              <w:t>R (Risiko)</w:t>
            </w:r>
          </w:p>
        </w:tc>
        <w:tc>
          <w:tcPr>
            <w:tcW w:type="dxa" w:w="1417"/>
          </w:tcPr>
          <w:p>
            <w:pPr>
              <w:jc w:val="center"/>
            </w:pPr>
            <w:r/>
            <w:r>
              <w:rPr>
                <w:color w:val="F97316"/>
              </w:rPr>
              <w:t>●●●●○</w:t>
            </w:r>
          </w:p>
        </w:tc>
        <w:tc>
          <w:tcPr>
            <w:tcW w:type="dxa" w:w="5102"/>
          </w:tcPr>
          <w:p>
            <w:pPr>
              <w:jc w:val="left"/>
            </w:pPr>
            <w:r/>
            <w:r>
              <w:t>Der Ist-Aufwand von 0h bei 90% Fortschritt und gleichzeitig verzögerten Meilensteinen und Terminverzug stellt ein hohes Risiko für das Projektreporting und den Projektstatus dar.</w:t>
            </w:r>
          </w:p>
        </w:tc>
      </w:tr>
      <w:tr>
        <w:tc>
          <w:tcPr>
            <w:tcW w:type="dxa" w:w="2268"/>
          </w:tcPr>
          <w:p>
            <w:pPr>
              <w:jc w:val="left"/>
            </w:pPr>
            <w:r/>
            <w:r>
              <w:t>DQ (Datenqualität)</w:t>
            </w:r>
          </w:p>
        </w:tc>
        <w:tc>
          <w:tcPr>
            <w:tcW w:type="dxa" w:w="1417"/>
          </w:tcPr>
          <w:p>
            <w:pPr>
              <w:jc w:val="center"/>
            </w:pPr>
            <w:r/>
            <w:r>
              <w:rPr>
                <w:color w:val="22C55E"/>
              </w:rPr>
              <w:t>●○○○○</w:t>
            </w:r>
          </w:p>
        </w:tc>
        <w:tc>
          <w:tcPr>
            <w:tcW w:type="dxa" w:w="5102"/>
          </w:tcPr>
          <w:p>
            <w:pPr>
              <w:jc w:val="left"/>
            </w:pPr>
            <w:r/>
            <w:r>
              <w:t>Geringe Datenqualität aufgrund von 0h Ist-Aufwand bei 90% Fortschritt und Verzögerungen vor dem geplanten Enddatum.</w:t>
            </w:r>
          </w:p>
        </w:tc>
      </w:tr>
    </w:tbl>
    <w:p>
      <w:pPr>
        <w:spacing w:before="0" w:after="120"/>
        <w:jc w:val="left"/>
      </w:pPr>
      <w:r>
        <w:t>Einschätzung: Das Projekt weist trotz 90% Fortschritt und eines zukünftigen Endes bereits Meilensteinverzögerungen und Terminverzug auf. Gekoppelt mit der mangelhaften Datenqualität ist es als kritisch einzustufen.</w:t>
      </w:r>
    </w:p>
    <w:p>
      <w:pPr>
        <w:spacing w:before="0" w:after="120"/>
        <w:jc w:val="left"/>
      </w:pPr>
      <w:r>
        <w:rPr>
          <w:rFonts w:ascii="Calibri" w:hAnsi="Calibri"/>
          <w:b/>
          <w:i w:val="0"/>
          <w:color w:val="008DCA"/>
          <w:sz w:val="22"/>
          <w:u w:val="none"/>
        </w:rPr>
        <w:br/>
        <w:t>Enterprise-Cloud-Migration</w:t>
      </w:r>
    </w:p>
    <w:p>
      <w:pPr>
        <w:spacing w:before="0" w:after="120"/>
        <w:jc w:val="left"/>
      </w:pPr>
      <w:r>
        <w:rPr>
          <w:rFonts w:ascii="Calibri" w:hAnsi="Calibri"/>
          <w:b w:val="0"/>
          <w:i w:val="0"/>
          <w:color w:val="808080"/>
          <w:sz w:val="22"/>
          <w:u w:val="none"/>
        </w:rPr>
        <w:t>Fortschritt: 0% | Meilensteine: 0/3 | (1 verzögert)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8DCA" w:val="clear"/>
          </w:tcPr>
          <w:p>
            <w:pPr>
              <w:jc w:val="left"/>
            </w:pPr>
            <w:r/>
            <w:r>
              <w:rPr>
                <w:b/>
                <w:color w:val="FFFFFF"/>
              </w:rPr>
              <w:t>Dimension</w:t>
            </w:r>
          </w:p>
        </w:tc>
        <w:tc>
          <w:tcPr>
            <w:tcW w:type="dxa" w:w="1417"/>
            <w:shd w:fill="008DCA" w:val="clear"/>
          </w:tcPr>
          <w:p>
            <w:pPr>
              <w:jc w:val="center"/>
            </w:pPr>
            <w:r/>
            <w:r>
              <w:rPr>
                <w:b/>
                <w:color w:val="FFFFFF"/>
              </w:rPr>
              <w:t>Score</w:t>
            </w:r>
          </w:p>
        </w:tc>
        <w:tc>
          <w:tcPr>
            <w:tcW w:type="dxa" w:w="5102"/>
            <w:shd w:fill="008DCA" w:val="clear"/>
          </w:tcPr>
          <w:p>
            <w:pPr>
              <w:jc w:val="left"/>
            </w:pPr>
            <w:r/>
            <w:r>
              <w:rPr>
                <w:b/>
                <w:color w:val="FFFFFF"/>
              </w:rPr>
              <w:t>Begründung</w:t>
            </w:r>
          </w:p>
        </w:tc>
      </w:tr>
      <w:tr>
        <w:tc>
          <w:tcPr>
            <w:tcW w:type="dxa" w:w="2268"/>
          </w:tcPr>
          <w:p>
            <w:pPr>
              <w:jc w:val="left"/>
            </w:pPr>
            <w:r/>
            <w:r>
              <w:t>U (Dringlichkeit)</w:t>
            </w:r>
          </w:p>
        </w:tc>
        <w:tc>
          <w:tcPr>
            <w:tcW w:type="dxa" w:w="1417"/>
          </w:tcPr>
          <w:p>
            <w:pPr>
              <w:jc w:val="center"/>
            </w:pPr>
            <w:r/>
            <w:r>
              <w:rPr>
                <w:color w:val="EAB308"/>
              </w:rPr>
              <w:t>●●●○○</w:t>
            </w:r>
          </w:p>
        </w:tc>
        <w:tc>
          <w:tcPr>
            <w:tcW w:type="dxa" w:w="5102"/>
          </w:tcPr>
          <w:p>
            <w:pPr>
              <w:jc w:val="left"/>
            </w:pPr>
            <w:r/>
            <w:r>
              <w:t>Obwohl der offizielle Start in der Zukunft liegt, ist bereits ein Meilenstein verzögert, was auf vorlaufende Probleme hindeutet.</w:t>
            </w:r>
          </w:p>
        </w:tc>
      </w:tr>
      <w:tr>
        <w:tc>
          <w:tcPr>
            <w:tcW w:type="dxa" w:w="2268"/>
          </w:tcPr>
          <w:p>
            <w:pPr>
              <w:jc w:val="left"/>
            </w:pPr>
            <w:r/>
            <w:r>
              <w:t>I (Wichtigkeit)</w:t>
            </w:r>
          </w:p>
        </w:tc>
        <w:tc>
          <w:tcPr>
            <w:tcW w:type="dxa" w:w="1417"/>
          </w:tcPr>
          <w:p>
            <w:pPr>
              <w:jc w:val="center"/>
            </w:pPr>
            <w:r/>
            <w:r>
              <w:rPr>
                <w:color w:val="EF4444"/>
              </w:rPr>
              <w:t>●●●●●</w:t>
            </w:r>
          </w:p>
        </w:tc>
        <w:tc>
          <w:tcPr>
            <w:tcW w:type="dxa" w:w="5102"/>
          </w:tcPr>
          <w:p>
            <w:pPr>
              <w:jc w:val="left"/>
            </w:pPr>
            <w:r/>
            <w:r>
              <w:t>Eine Enterprise-Cloud-Migration ist ein geschäftskritisches Vorhaben mit enormem Einfluss auf Strategie, IT-Infrastruktur und Betrieb.</w:t>
            </w:r>
          </w:p>
        </w:tc>
      </w:tr>
      <w:tr>
        <w:tc>
          <w:tcPr>
            <w:tcW w:type="dxa" w:w="2268"/>
          </w:tcPr>
          <w:p>
            <w:pPr>
              <w:jc w:val="left"/>
            </w:pPr>
            <w:r/>
            <w:r>
              <w:t>C (Komplexität)</w:t>
            </w:r>
          </w:p>
        </w:tc>
        <w:tc>
          <w:tcPr>
            <w:tcW w:type="dxa" w:w="1417"/>
          </w:tcPr>
          <w:p>
            <w:pPr>
              <w:jc w:val="center"/>
            </w:pPr>
            <w:r/>
            <w:r>
              <w:rPr>
                <w:color w:val="EF4444"/>
              </w:rPr>
              <w:t>●●●●●</w:t>
            </w:r>
          </w:p>
        </w:tc>
        <w:tc>
          <w:tcPr>
            <w:tcW w:type="dxa" w:w="5102"/>
          </w:tcPr>
          <w:p>
            <w:pPr>
              <w:jc w:val="left"/>
            </w:pPr>
            <w:r/>
            <w:r>
              <w:t>Enterprise-Cloud-Migrationen sind sehr komplex, da sie vielfältige Systeme, Daten und Prozesse betreffen.</w:t>
            </w:r>
          </w:p>
        </w:tc>
      </w:tr>
      <w:tr>
        <w:tc>
          <w:tcPr>
            <w:tcW w:type="dxa" w:w="2268"/>
          </w:tcPr>
          <w:p>
            <w:pPr>
              <w:jc w:val="left"/>
            </w:pPr>
            <w:r/>
            <w:r>
              <w:t>R (Risiko)</w:t>
            </w:r>
          </w:p>
        </w:tc>
        <w:tc>
          <w:tcPr>
            <w:tcW w:type="dxa" w:w="1417"/>
          </w:tcPr>
          <w:p>
            <w:pPr>
              <w:jc w:val="center"/>
            </w:pPr>
            <w:r/>
            <w:r>
              <w:rPr>
                <w:color w:val="EF4444"/>
              </w:rPr>
              <w:t>●●●●●</w:t>
            </w:r>
          </w:p>
        </w:tc>
        <w:tc>
          <w:tcPr>
            <w:tcW w:type="dxa" w:w="5102"/>
          </w:tcPr>
          <w:p>
            <w:pPr>
              <w:jc w:val="left"/>
            </w:pPr>
            <w:r/>
            <w:r>
              <w:t>0h Ist-Aufwand und bereits verzögerte Meilensteine vor Projektstart weisen auf massive Vorlaufprobleme und ein hohes Risiko hin. Cloud-Migrationen sind zudem intrinsisch risikoreich.</w:t>
            </w:r>
          </w:p>
        </w:tc>
      </w:tr>
      <w:tr>
        <w:tc>
          <w:tcPr>
            <w:tcW w:type="dxa" w:w="2268"/>
          </w:tcPr>
          <w:p>
            <w:pPr>
              <w:jc w:val="left"/>
            </w:pPr>
            <w:r/>
            <w:r>
              <w:t>DQ (Datenqualität)</w:t>
            </w:r>
          </w:p>
        </w:tc>
        <w:tc>
          <w:tcPr>
            <w:tcW w:type="dxa" w:w="1417"/>
          </w:tcPr>
          <w:p>
            <w:pPr>
              <w:jc w:val="center"/>
            </w:pPr>
            <w:r/>
            <w:r>
              <w:rPr>
                <w:color w:val="22C55E"/>
              </w:rPr>
              <w:t>●○○○○</w:t>
            </w:r>
          </w:p>
        </w:tc>
        <w:tc>
          <w:tcPr>
            <w:tcW w:type="dxa" w:w="5102"/>
          </w:tcPr>
          <w:p>
            <w:pPr>
              <w:jc w:val="left"/>
            </w:pPr>
            <w:r/>
            <w:r>
              <w:t>Sehr geringe Datenqualität: 0h Ist-Aufwand und zukünftiger Start, aber bereits ein verzögerter Meilenstein.</w:t>
            </w:r>
          </w:p>
        </w:tc>
      </w:tr>
    </w:tbl>
    <w:p>
      <w:pPr>
        <w:spacing w:before="0" w:after="120"/>
        <w:jc w:val="left"/>
      </w:pPr>
      <w:r>
        <w:t>Einschätzung: Trotz zukünftigem Startdatum sind bereits Meilensteine verzögert und der Ist-Aufwand ist 0h, was zusammen mit der kritischen Bedeutung und Komplexität einer Cloud-Migration ein hohes Risiko und kritischen Status ergibt.</w:t>
      </w:r>
    </w:p>
    <w:p>
      <w:pPr>
        <w:spacing w:before="0" w:after="120"/>
        <w:jc w:val="left"/>
      </w:pPr>
      <w:r>
        <w:rPr>
          <w:rFonts w:ascii="Calibri" w:hAnsi="Calibri"/>
          <w:b/>
          <w:i w:val="0"/>
          <w:color w:val="008DCA"/>
          <w:sz w:val="22"/>
          <w:u w:val="none"/>
        </w:rPr>
        <w:br/>
        <w:t>IT-Sicherheitsinitiative Zero-Trust</w:t>
      </w:r>
    </w:p>
    <w:p>
      <w:pPr>
        <w:spacing w:before="0" w:after="120"/>
        <w:jc w:val="left"/>
      </w:pPr>
      <w:r>
        <w:rPr>
          <w:rFonts w:ascii="Calibri" w:hAnsi="Calibri"/>
          <w:b w:val="0"/>
          <w:i w:val="0"/>
          <w:color w:val="808080"/>
          <w:sz w:val="22"/>
          <w:u w:val="none"/>
        </w:rPr>
        <w:t>Fortschritt: 0% | Meilensteine: 0/3 | (3 verzögert)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8DCA" w:val="clear"/>
          </w:tcPr>
          <w:p>
            <w:pPr>
              <w:jc w:val="left"/>
            </w:pPr>
            <w:r/>
            <w:r>
              <w:rPr>
                <w:b/>
                <w:color w:val="FFFFFF"/>
              </w:rPr>
              <w:t>Dimension</w:t>
            </w:r>
          </w:p>
        </w:tc>
        <w:tc>
          <w:tcPr>
            <w:tcW w:type="dxa" w:w="1417"/>
            <w:shd w:fill="008DCA" w:val="clear"/>
          </w:tcPr>
          <w:p>
            <w:pPr>
              <w:jc w:val="center"/>
            </w:pPr>
            <w:r/>
            <w:r>
              <w:rPr>
                <w:b/>
                <w:color w:val="FFFFFF"/>
              </w:rPr>
              <w:t>Score</w:t>
            </w:r>
          </w:p>
        </w:tc>
        <w:tc>
          <w:tcPr>
            <w:tcW w:type="dxa" w:w="5102"/>
            <w:shd w:fill="008DCA" w:val="clear"/>
          </w:tcPr>
          <w:p>
            <w:pPr>
              <w:jc w:val="left"/>
            </w:pPr>
            <w:r/>
            <w:r>
              <w:rPr>
                <w:b/>
                <w:color w:val="FFFFFF"/>
              </w:rPr>
              <w:t>Begründung</w:t>
            </w:r>
          </w:p>
        </w:tc>
      </w:tr>
      <w:tr>
        <w:tc>
          <w:tcPr>
            <w:tcW w:type="dxa" w:w="2268"/>
          </w:tcPr>
          <w:p>
            <w:pPr>
              <w:jc w:val="left"/>
            </w:pPr>
            <w:r/>
            <w:r>
              <w:t>U (Dringlichkeit)</w:t>
            </w:r>
          </w:p>
        </w:tc>
        <w:tc>
          <w:tcPr>
            <w:tcW w:type="dxa" w:w="1417"/>
          </w:tcPr>
          <w:p>
            <w:pPr>
              <w:jc w:val="center"/>
            </w:pPr>
            <w:r/>
            <w:r>
              <w:rPr>
                <w:color w:val="F97316"/>
              </w:rPr>
              <w:t>●●●●○</w:t>
            </w:r>
          </w:p>
        </w:tc>
        <w:tc>
          <w:tcPr>
            <w:tcW w:type="dxa" w:w="5102"/>
          </w:tcPr>
          <w:p>
            <w:pPr>
              <w:jc w:val="left"/>
            </w:pPr>
            <w:r/>
            <w:r>
              <w:t>Alle drei Meilensteine sind bereits vor Projektstart verzögert, was sofortigen Handlungsbedarf zur Klärung der Projektvorbereitung erfordert.</w:t>
            </w:r>
          </w:p>
        </w:tc>
      </w:tr>
      <w:tr>
        <w:tc>
          <w:tcPr>
            <w:tcW w:type="dxa" w:w="2268"/>
          </w:tcPr>
          <w:p>
            <w:pPr>
              <w:jc w:val="left"/>
            </w:pPr>
            <w:r/>
            <w:r>
              <w:t>I (Wichtigkeit)</w:t>
            </w:r>
          </w:p>
        </w:tc>
        <w:tc>
          <w:tcPr>
            <w:tcW w:type="dxa" w:w="1417"/>
          </w:tcPr>
          <w:p>
            <w:pPr>
              <w:jc w:val="center"/>
            </w:pPr>
            <w:r/>
            <w:r>
              <w:rPr>
                <w:color w:val="EF4444"/>
              </w:rPr>
              <w:t>●●●●●</w:t>
            </w:r>
          </w:p>
        </w:tc>
        <w:tc>
          <w:tcPr>
            <w:tcW w:type="dxa" w:w="5102"/>
          </w:tcPr>
          <w:p>
            <w:pPr>
              <w:jc w:val="left"/>
            </w:pPr>
            <w:r/>
            <w:r>
              <w:t>Eine Zero-Trust-Sicherheitsinitiative ist unternehmenskritisch für den Schutz vor Cyberbedrohungen und die Einhaltung von Compliance.</w:t>
            </w:r>
          </w:p>
        </w:tc>
      </w:tr>
      <w:tr>
        <w:tc>
          <w:tcPr>
            <w:tcW w:type="dxa" w:w="2268"/>
          </w:tcPr>
          <w:p>
            <w:pPr>
              <w:jc w:val="left"/>
            </w:pPr>
            <w:r/>
            <w:r>
              <w:t>C (Komplexität)</w:t>
            </w:r>
          </w:p>
        </w:tc>
        <w:tc>
          <w:tcPr>
            <w:tcW w:type="dxa" w:w="1417"/>
          </w:tcPr>
          <w:p>
            <w:pPr>
              <w:jc w:val="center"/>
            </w:pPr>
            <w:r/>
            <w:r>
              <w:rPr>
                <w:color w:val="EF4444"/>
              </w:rPr>
              <w:t>●●●●●</w:t>
            </w:r>
          </w:p>
        </w:tc>
        <w:tc>
          <w:tcPr>
            <w:tcW w:type="dxa" w:w="5102"/>
          </w:tcPr>
          <w:p>
            <w:pPr>
              <w:jc w:val="left"/>
            </w:pPr>
            <w:r/>
            <w:r>
              <w:t>Die Implementierung von Zero-Trust ist eine hochkomplexe Transformation der gesamten Sicherheitsarchitektur.</w:t>
            </w:r>
          </w:p>
        </w:tc>
      </w:tr>
      <w:tr>
        <w:tc>
          <w:tcPr>
            <w:tcW w:type="dxa" w:w="2268"/>
          </w:tcPr>
          <w:p>
            <w:pPr>
              <w:jc w:val="left"/>
            </w:pPr>
            <w:r/>
            <w:r>
              <w:t>R (Risiko)</w:t>
            </w:r>
          </w:p>
        </w:tc>
        <w:tc>
          <w:tcPr>
            <w:tcW w:type="dxa" w:w="1417"/>
          </w:tcPr>
          <w:p>
            <w:pPr>
              <w:jc w:val="center"/>
            </w:pPr>
            <w:r/>
            <w:r>
              <w:rPr>
                <w:color w:val="EF4444"/>
              </w:rPr>
              <w:t>●●●●●</w:t>
            </w:r>
          </w:p>
        </w:tc>
        <w:tc>
          <w:tcPr>
            <w:tcW w:type="dxa" w:w="5102"/>
          </w:tcPr>
          <w:p>
            <w:pPr>
              <w:jc w:val="left"/>
            </w:pPr>
            <w:r/>
            <w:r>
              <w:t>Alle Meilensteine sind verzögert und der Ist-Aufwand ist 0h vor Projektstart, was ein extrem hohes initiales Risiko für das Gelingen des Projekts bedeutet. Sicherheitsprojekte haben zudem hohe inhärente Risiken.</w:t>
            </w:r>
          </w:p>
        </w:tc>
      </w:tr>
      <w:tr>
        <w:tc>
          <w:tcPr>
            <w:tcW w:type="dxa" w:w="2268"/>
          </w:tcPr>
          <w:p>
            <w:pPr>
              <w:jc w:val="left"/>
            </w:pPr>
            <w:r/>
            <w:r>
              <w:t>DQ (Datenqualität)</w:t>
            </w:r>
          </w:p>
        </w:tc>
        <w:tc>
          <w:tcPr>
            <w:tcW w:type="dxa" w:w="1417"/>
          </w:tcPr>
          <w:p>
            <w:pPr>
              <w:jc w:val="center"/>
            </w:pPr>
            <w:r/>
            <w:r>
              <w:rPr>
                <w:color w:val="22C55E"/>
              </w:rPr>
              <w:t>●○○○○</w:t>
            </w:r>
          </w:p>
        </w:tc>
        <w:tc>
          <w:tcPr>
            <w:tcW w:type="dxa" w:w="5102"/>
          </w:tcPr>
          <w:p>
            <w:pPr>
              <w:jc w:val="left"/>
            </w:pPr>
            <w:r/>
            <w:r>
              <w:t>Sehr geringe Datenqualität: 0h Ist-Aufwand und zukünftiger Start, aber alle Meilensteine sind bereits verzögert.</w:t>
            </w:r>
          </w:p>
        </w:tc>
      </w:tr>
    </w:tbl>
    <w:p>
      <w:pPr>
        <w:spacing w:before="0" w:after="120"/>
        <w:jc w:val="left"/>
      </w:pPr>
      <w:r>
        <w:t>Einschätzung: Dieses strategisch hochwichtige Sicherheitsprojekt ist bereits vor dem Start stark verzögert und zeigt extreme Dateninkonsistenzen, was es als sehr kritisch einstuft.</w:t>
      </w:r>
    </w:p>
    <w:p>
      <w:pPr>
        <w:spacing w:before="0" w:after="120"/>
        <w:jc w:val="left"/>
      </w:pPr>
      <w:r>
        <w:rPr>
          <w:rFonts w:ascii="Calibri" w:hAnsi="Calibri"/>
          <w:b/>
          <w:i w:val="0"/>
          <w:color w:val="008DCA"/>
          <w:sz w:val="22"/>
          <w:u w:val="none"/>
        </w:rPr>
        <w:br/>
        <w:t>Werk2-Maschinenverlagerung</w:t>
      </w:r>
    </w:p>
    <w:p>
      <w:pPr>
        <w:spacing w:before="0" w:after="120"/>
        <w:jc w:val="left"/>
      </w:pPr>
      <w:r>
        <w:rPr>
          <w:rFonts w:ascii="Calibri" w:hAnsi="Calibri"/>
          <w:b w:val="0"/>
          <w:i w:val="0"/>
          <w:color w:val="808080"/>
          <w:sz w:val="22"/>
          <w:u w:val="none"/>
        </w:rPr>
        <w:t>Fortschritt: 0% | Meilensteine: 0/3 | (3 verzögert)</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08DCA" w:val="clear"/>
          </w:tcPr>
          <w:p>
            <w:pPr>
              <w:jc w:val="left"/>
            </w:pPr>
            <w:r/>
            <w:r>
              <w:rPr>
                <w:b/>
                <w:color w:val="FFFFFF"/>
              </w:rPr>
              <w:t>Dimension</w:t>
            </w:r>
          </w:p>
        </w:tc>
        <w:tc>
          <w:tcPr>
            <w:tcW w:type="dxa" w:w="1417"/>
            <w:shd w:fill="008DCA" w:val="clear"/>
          </w:tcPr>
          <w:p>
            <w:pPr>
              <w:jc w:val="center"/>
            </w:pPr>
            <w:r/>
            <w:r>
              <w:rPr>
                <w:b/>
                <w:color w:val="FFFFFF"/>
              </w:rPr>
              <w:t>Score</w:t>
            </w:r>
          </w:p>
        </w:tc>
        <w:tc>
          <w:tcPr>
            <w:tcW w:type="dxa" w:w="5102"/>
            <w:shd w:fill="008DCA" w:val="clear"/>
          </w:tcPr>
          <w:p>
            <w:pPr>
              <w:jc w:val="left"/>
            </w:pPr>
            <w:r/>
            <w:r>
              <w:rPr>
                <w:b/>
                <w:color w:val="FFFFFF"/>
              </w:rPr>
              <w:t>Begründung</w:t>
            </w:r>
          </w:p>
        </w:tc>
      </w:tr>
      <w:tr>
        <w:tc>
          <w:tcPr>
            <w:tcW w:type="dxa" w:w="2268"/>
          </w:tcPr>
          <w:p>
            <w:pPr>
              <w:jc w:val="left"/>
            </w:pPr>
            <w:r/>
            <w:r>
              <w:t>U (Dringlichkeit)</w:t>
            </w:r>
          </w:p>
        </w:tc>
        <w:tc>
          <w:tcPr>
            <w:tcW w:type="dxa" w:w="1417"/>
          </w:tcPr>
          <w:p>
            <w:pPr>
              <w:jc w:val="center"/>
            </w:pPr>
            <w:r/>
            <w:r>
              <w:rPr>
                <w:color w:val="F97316"/>
              </w:rPr>
              <w:t>●●●●○</w:t>
            </w:r>
          </w:p>
        </w:tc>
        <w:tc>
          <w:tcPr>
            <w:tcW w:type="dxa" w:w="5102"/>
          </w:tcPr>
          <w:p>
            <w:pPr>
              <w:jc w:val="left"/>
            </w:pPr>
            <w:r/>
            <w:r>
              <w:t>Alle drei Meilensteine sind bereits vor Projektstart verzögert, was dringenden Klärungsbedarf bei der Projektvorbereitung erfordert.</w:t>
            </w:r>
          </w:p>
        </w:tc>
      </w:tr>
      <w:tr>
        <w:tc>
          <w:tcPr>
            <w:tcW w:type="dxa" w:w="2268"/>
          </w:tcPr>
          <w:p>
            <w:pPr>
              <w:jc w:val="left"/>
            </w:pPr>
            <w:r/>
            <w:r>
              <w:t>I (Wichtigkeit)</w:t>
            </w:r>
          </w:p>
        </w:tc>
        <w:tc>
          <w:tcPr>
            <w:tcW w:type="dxa" w:w="1417"/>
          </w:tcPr>
          <w:p>
            <w:pPr>
              <w:jc w:val="center"/>
            </w:pPr>
            <w:r/>
            <w:r>
              <w:rPr>
                <w:color w:val="F97316"/>
              </w:rPr>
              <w:t>●●●●○</w:t>
            </w:r>
          </w:p>
        </w:tc>
        <w:tc>
          <w:tcPr>
            <w:tcW w:type="dxa" w:w="5102"/>
          </w:tcPr>
          <w:p>
            <w:pPr>
              <w:jc w:val="left"/>
            </w:pPr>
            <w:r/>
            <w:r>
              <w:t>Maschinenverlagerungen in einem Werk sind in der Regel hochrelevant für Produktion, Kapazität und Betriebssicherheit.</w:t>
            </w:r>
          </w:p>
        </w:tc>
      </w:tr>
      <w:tr>
        <w:tc>
          <w:tcPr>
            <w:tcW w:type="dxa" w:w="2268"/>
          </w:tcPr>
          <w:p>
            <w:pPr>
              <w:jc w:val="left"/>
            </w:pPr>
            <w:r/>
            <w:r>
              <w:t>C (Komplexität)</w:t>
            </w:r>
          </w:p>
        </w:tc>
        <w:tc>
          <w:tcPr>
            <w:tcW w:type="dxa" w:w="1417"/>
          </w:tcPr>
          <w:p>
            <w:pPr>
              <w:jc w:val="center"/>
            </w:pPr>
            <w:r/>
            <w:r>
              <w:rPr>
                <w:color w:val="F97316"/>
              </w:rPr>
              <w:t>●●●●○</w:t>
            </w:r>
          </w:p>
        </w:tc>
        <w:tc>
          <w:tcPr>
            <w:tcW w:type="dxa" w:w="5102"/>
          </w:tcPr>
          <w:p>
            <w:pPr>
              <w:jc w:val="left"/>
            </w:pPr>
            <w:r/>
            <w:r>
              <w:t>Eine Maschinenverlagerung kann komplex sein durch Logistik, Installation, Sicherheit und mögliche Produktionsunterbrechungen.</w:t>
            </w:r>
          </w:p>
        </w:tc>
      </w:tr>
      <w:tr>
        <w:tc>
          <w:tcPr>
            <w:tcW w:type="dxa" w:w="2268"/>
          </w:tcPr>
          <w:p>
            <w:pPr>
              <w:jc w:val="left"/>
            </w:pPr>
            <w:r/>
            <w:r>
              <w:t>R (Risiko)</w:t>
            </w:r>
          </w:p>
        </w:tc>
        <w:tc>
          <w:tcPr>
            <w:tcW w:type="dxa" w:w="1417"/>
          </w:tcPr>
          <w:p>
            <w:pPr>
              <w:jc w:val="center"/>
            </w:pPr>
            <w:r/>
            <w:r>
              <w:rPr>
                <w:color w:val="EF4444"/>
              </w:rPr>
              <w:t>●●●●●</w:t>
            </w:r>
          </w:p>
        </w:tc>
        <w:tc>
          <w:tcPr>
            <w:tcW w:type="dxa" w:w="5102"/>
          </w:tcPr>
          <w:p>
            <w:pPr>
              <w:jc w:val="left"/>
            </w:pPr>
            <w:r/>
            <w:r>
              <w:t>Alle Meilensteine sind verzögert und der Ist-Aufwand ist 0h vor Projektstart, was ein extrem hohes Risiko für die Durchführung und Zeitplanung darstellt. Physische Verlagerungen bergen zudem hohe Risiken.</w:t>
            </w:r>
          </w:p>
        </w:tc>
      </w:tr>
      <w:tr>
        <w:tc>
          <w:tcPr>
            <w:tcW w:type="dxa" w:w="2268"/>
          </w:tcPr>
          <w:p>
            <w:pPr>
              <w:jc w:val="left"/>
            </w:pPr>
            <w:r/>
            <w:r>
              <w:t>DQ (Datenqualität)</w:t>
            </w:r>
          </w:p>
        </w:tc>
        <w:tc>
          <w:tcPr>
            <w:tcW w:type="dxa" w:w="1417"/>
          </w:tcPr>
          <w:p>
            <w:pPr>
              <w:jc w:val="center"/>
            </w:pPr>
            <w:r/>
            <w:r>
              <w:rPr>
                <w:color w:val="22C55E"/>
              </w:rPr>
              <w:t>●○○○○</w:t>
            </w:r>
          </w:p>
        </w:tc>
        <w:tc>
          <w:tcPr>
            <w:tcW w:type="dxa" w:w="5102"/>
          </w:tcPr>
          <w:p>
            <w:pPr>
              <w:jc w:val="left"/>
            </w:pPr>
            <w:r/>
            <w:r>
              <w:t>Sehr geringe Datenqualität: 0h Ist-Aufwand und zukünftiger Start, aber alle Meilensteine sind bereits verzögert.</w:t>
            </w:r>
          </w:p>
        </w:tc>
      </w:tr>
    </w:tbl>
    <w:p>
      <w:pPr>
        <w:spacing w:before="0" w:after="120"/>
        <w:jc w:val="left"/>
      </w:pPr>
      <w:r>
        <w:t>Einschätzung: Die Maschinenverlagerung, ein operativ wichtiges Projekt, ist bereits vor dem geplanten Start durch gravierende Meilensteinverzögerungen und Dateninkonsistenzen stark gefährdet und somit kritisch.</w:t>
      </w:r>
    </w:p>
    <w:p>
      <w:pPr>
        <w:pStyle w:val="Heading1"/>
      </w:pPr>
      <w:r>
        <w:rPr>
          <w:color w:val="CC0000"/>
        </w:rPr>
        <w:t>Kritische Projekte</w:t>
      </w:r>
    </w:p>
    <w:p>
      <w:pPr>
        <w:spacing w:before="0" w:after="120"/>
        <w:jc w:val="left"/>
      </w:pPr>
      <w:r>
        <w:t>Die folgenden 4 Projekte wurden als kritisch eingestuft und erfordern besondere Aufmerksamkeit:</w:t>
      </w:r>
    </w:p>
    <w:p>
      <w:pPr>
        <w:pStyle w:val="ListBullet"/>
      </w:pPr>
      <w:r>
        <w:t>Digitale Dokumentenverwaltung: Das Projekt weist trotz 90% Fortschritt und eines zukünftigen Endes bereits Meilensteinverzögerungen und Terminverzug auf. Gekoppelt mit der mangelhaften Datenqualität ist es als kritisch einzustufen.</w:t>
      </w:r>
    </w:p>
    <w:p>
      <w:pPr>
        <w:pStyle w:val="ListBullet"/>
      </w:pPr>
      <w:r>
        <w:t>Enterprise-Cloud-Migration: Trotz zukünftigem Startdatum sind bereits Meilensteine verzögert und der Ist-Aufwand ist 0h, was zusammen mit der kritischen Bedeutung und Komplexität einer Cloud-Migration ein hohes Risiko und kritischen Status ergibt.</w:t>
      </w:r>
    </w:p>
    <w:p>
      <w:pPr>
        <w:pStyle w:val="ListBullet"/>
      </w:pPr>
      <w:r>
        <w:t>IT-Sicherheitsinitiative Zero-Trust: Dieses strategisch hochwichtige Sicherheitsprojekt ist bereits vor dem Start stark verzögert und zeigt extreme Dateninkonsistenzen, was es als sehr kritisch einstuft.</w:t>
      </w:r>
    </w:p>
    <w:p>
      <w:pPr>
        <w:pStyle w:val="ListBullet"/>
      </w:pPr>
      <w:r>
        <w:t>Werk2-Maschinenverlagerung: Die Maschinenverlagerung, ein operativ wichtiges Projekt, ist bereits vor dem geplanten Start durch gravierende Meilensteinverzögerungen und Dateninkonsistenzen stark gefährdet und somit kritisch.</w:t>
      </w:r>
    </w:p>
    <w:p>
      <w:pPr>
        <w:pStyle w:val="Heading1"/>
      </w:pPr>
      <w:r>
        <w:rPr>
          <w:color w:val="016BD5"/>
        </w:rPr>
        <w:t>Handlungsempfehlungen</w:t>
      </w:r>
    </w:p>
    <w:p>
      <w:pPr>
        <w:pStyle w:val="ListNumber"/>
      </w:pPr>
      <w:r>
        <w:t>**Sofortige Maßnahmen zur Datenqualitätsverbesserung:** Ein BlueAnt-Audit und obligatorische Schulungen für Projektmanager zur korrekten und konsistenten Datenerfassung sind umgehend einzuführen, um eine verlässliche Basis für die Entscheidungsfindung zu schaffen.</w:t>
      </w:r>
    </w:p>
    <w:p>
      <w:pPr>
        <w:pStyle w:val="ListNumber"/>
      </w:pPr>
      <w:r>
        <w:t>**Priorisierte Tiefenanalyse und Krisenintervention:** Für die kritischsten Projekte (831186778 - IT-Sicherheit, 831187219 - Cloud-Migration, 831186338 - Maschinenverlagerung) sind sofortige Workshops zur Ursachenanalyse der Verzögerungen und hohen Risiken sowie zur Entwicklung stabilisierender Maßnahmen einzuleiten.</w:t>
      </w:r>
    </w:p>
    <w:p>
      <w:pPr>
        <w:pStyle w:val="ListNumber"/>
      </w:pPr>
      <w:r>
        <w:t>**Überprüfung der Projektplanung und -freigabe:** Der Prozess der Projektinitialisierung und -planung muss kritisch überprüft werden, um sicherzustellen, dass Projekte nicht bereits vor ihrem offiziellen Start in einen kritischen Zustand geraten.</w:t>
      </w:r>
    </w:p>
    <w:p>
      <w:pPr>
        <w:pStyle w:val="ListNumber"/>
      </w:pPr>
      <w:r>
        <w:t>**Validierung des 'abgeschlossenen' CRM-Projekts:** Das CRM-Migrationsprojekt (831185419) muss einer sofortigen Überprüfung der tatsächlichen Fertigstellung und Qualität unterzogen werden, um die Diskrepanz zwischen Abschlussmeldung und den berichteten Datenproblemen zu klären.</w:t>
      </w:r>
    </w:p>
    <w:p>
      <w:pPr>
        <w:pStyle w:val="ListNumber"/>
      </w:pPr>
      <w:r>
        <w:t>**Ressourcen- und Kapazitätsprüfung:** Eine umfassende Analyse der verfügbaren internen und externen Ressourcen und Kapazitäten im Verhältnis zur Anzahl und Komplexität der laufenden und geplanten Projekte ist dringend erforderlich, um Überlastungen und weitere Verzögerungen zu vermeiden.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Portfolio - Portfolio Analysis</dc:title>
  <dc:subject/>
  <dc:creator>BlueAnt AI Analysis</dc:creator>
  <cp:keywords/>
  <dc:description>generated by python-docx</dc:description>
  <cp:lastModifiedBy/>
  <cp:revision>1</cp:revision>
  <dcterms:created xsi:type="dcterms:W3CDTF">2013-12-23T23:15:00Z</dcterms:created>
  <dcterms:modified xsi:type="dcterms:W3CDTF">2013-12-23T23:15:00Z</dcterms:modified>
  <cp:category/>
</cp:coreProperties>
</file>