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7655D9"/>
          <w:sz w:val="20"/>
        </w:rPr>
        <w:t>TECHNICAL REPORT  /  PHASE 2</w:t>
      </w:r>
    </w:p>
    <w:p>
      <w:pPr>
        <w:pStyle w:val="Title"/>
        <w:spacing w:before="300"/>
      </w:pPr>
      <w:r>
        <w:t>Security Operations Centre</w:t>
        <w:br/>
        <w:t>and Knowledge Graph RAG</w:t>
      </w:r>
    </w:p>
    <w:p>
      <w:pPr>
        <w:spacing w:before="180"/>
      </w:pPr>
      <w:r>
        <w:rPr>
          <w:color w:val="596579"/>
          <w:sz w:val="30"/>
        </w:rPr>
        <w:t>Architecture, design choices, limitations and implementation evidence</w:t>
      </w:r>
    </w:p>
    <w:p>
      <w:pPr>
        <w:spacing w:before="440"/>
      </w:pPr>
      <w:r>
        <w:rPr>
          <w:b/>
          <w:sz w:val="22"/>
        </w:rPr>
        <w:t>Recruitment Platform  |  12 October 2026</w:t>
      </w:r>
    </w:p>
    <w:tbl>
      <w:tblPr>
        <w:tblStyle w:val="TableGrid"/>
        <w:tblW w:type="auto" w:w="0"/>
        <w:jc w:val="center"/>
        <w:tblLook w:firstColumn="1" w:firstRow="1" w:lastColumn="0" w:lastRow="0" w:noHBand="0" w:noVBand="1" w:val="04A0"/>
      </w:tblPr>
      <w:tblGrid>
        <w:gridCol w:w="10080"/>
      </w:tblGrid>
      <w:tr>
        <w:tc>
          <w:tcPr>
            <w:tcW w:type="dxa" w:w="10080"/>
            <w:shd w:fill="F1EDFC"/>
          </w:tcPr>
          <w:p>
            <w:pPr>
              <w:spacing w:after="80"/>
            </w:pPr>
            <w:r/>
            <w:r>
              <w:rPr>
                <w:b/>
                <w:color w:val="7655D9"/>
              </w:rPr>
              <w:t xml:space="preserve">Report status  </w:t>
            </w:r>
            <w:r>
              <w:t>Implementation and repository evidence review. The project owner reports that SOC startup now works in their environment. This report documents source-level evidence and does not claim an independently reproduced live end-to-end demonstration.</w:t>
            </w:r>
          </w:p>
        </w:tc>
      </w:tr>
    </w:tbl>
    <w:p>
      <w:pPr>
        <w:spacing w:after="0"/>
      </w:pPr>
    </w:p>
    <w:p>
      <w:pPr>
        <w:pStyle w:val="Heading1"/>
      </w:pPr>
      <w:r>
        <w:t>Executive summary</w:t>
      </w:r>
    </w:p>
    <w:p>
      <w:r>
        <w:t>The Phase 2 implementation adds a Security Operations Centre (SOC) to the recruitment platform. The API gateway and application services publish security and operational events to SOC; SOC stores events and alerts in PostgreSQL, evaluates five scheduled rules, and synchronizes runtime evidence into Neo4j. The graph combines application structure, runtime activity, and security reference data. Administrators can review alerts and ask supported security questions in the protected Security insights interface.</w:t>
      </w:r>
    </w:p>
    <w:p>
      <w:r>
        <w:t>The implemented architecture addresses the specification’s core collection, detection, graph, and explainable retrieval requirements. Its strongest design choice is a deterministic, template-based GraphRAG flow: a question is matched to a known intent, a predefined Cypher query retrieves graph evidence, and a response template summarizes the result. This keeps answers inspectable while limiting question coverage. The system is a prototype: event delivery is asynchronous and lossy under pressure, health checks are liveness-only, incident grouping is simple, and live demonstration evidence and full build validation remain outstanding in this review environment.</w:t>
      </w:r>
    </w:p>
    <w:p>
      <w:pPr>
        <w:pStyle w:val="Heading2"/>
      </w:pPr>
      <w:r>
        <w:t>At a glance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00"/>
            <w:vAlign w:val="center"/>
            <w:shd w:fill="7655D9"/>
          </w:tcPr>
          <w:p>
            <w:pPr>
              <w:spacing w:after="20" w:before="20"/>
            </w:pPr>
            <w:r/>
            <w:r>
              <w:rPr>
                <w:rFonts w:ascii="Aptos" w:hAnsi="Aptos"/>
                <w:b/>
                <w:color w:val="FFFFFF"/>
                <w:sz w:val="16"/>
              </w:rPr>
              <w:t>Area</w:t>
            </w:r>
          </w:p>
        </w:tc>
        <w:tc>
          <w:tcPr>
            <w:tcW w:type="dxa" w:w="4176"/>
            <w:vAlign w:val="center"/>
            <w:shd w:fill="7655D9"/>
          </w:tcPr>
          <w:p>
            <w:pPr>
              <w:spacing w:after="20" w:before="20"/>
            </w:pPr>
            <w:r/>
            <w:r>
              <w:rPr>
                <w:rFonts w:ascii="Aptos" w:hAnsi="Aptos"/>
                <w:b/>
                <w:color w:val="FFFFFF"/>
                <w:sz w:val="16"/>
              </w:rPr>
              <w:t>Implemented design</w:t>
            </w:r>
          </w:p>
        </w:tc>
        <w:tc>
          <w:tcPr>
            <w:tcW w:type="dxa" w:w="4176"/>
            <w:vAlign w:val="center"/>
            <w:shd w:fill="7655D9"/>
          </w:tcPr>
          <w:p>
            <w:pPr>
              <w:spacing w:after="20" w:before="20"/>
            </w:pPr>
            <w:r/>
            <w:r>
              <w:rPr>
                <w:rFonts w:ascii="Aptos" w:hAnsi="Aptos"/>
                <w:b/>
                <w:color w:val="FFFFFF"/>
                <w:sz w:val="16"/>
              </w:rPr>
              <w:t>Evidence / status</w:t>
            </w:r>
          </w:p>
        </w:tc>
      </w:tr>
      <w:tr>
        <w:tc>
          <w:tcPr>
            <w:tcW w:type="dxa" w:w="1800"/>
            <w:vAlign w:val="center"/>
          </w:tcPr>
          <w:p>
            <w:pPr>
              <w:spacing w:after="20" w:before="20"/>
            </w:pPr>
            <w:r/>
            <w:r>
              <w:rPr>
                <w:rFonts w:ascii="Aptos" w:hAnsi="Aptos"/>
                <w:b w:val="0"/>
                <w:color w:val="172033"/>
                <w:sz w:val="16"/>
              </w:rPr>
              <w:t>Collection</w:t>
            </w:r>
          </w:p>
        </w:tc>
        <w:tc>
          <w:tcPr>
            <w:tcW w:type="dxa" w:w="4176"/>
            <w:vAlign w:val="center"/>
          </w:tcPr>
          <w:p>
            <w:pPr>
              <w:spacing w:after="20" w:before="20"/>
            </w:pPr>
            <w:r/>
            <w:r>
              <w:rPr>
                <w:rFonts w:ascii="Aptos" w:hAnsi="Aptos"/>
                <w:b w:val="0"/>
                <w:color w:val="172033"/>
                <w:sz w:val="16"/>
              </w:rPr>
              <w:t>Gateway, auth, job, application and health-transition events</w:t>
            </w:r>
          </w:p>
        </w:tc>
        <w:tc>
          <w:tcPr>
            <w:tcW w:type="dxa" w:w="4176"/>
            <w:vAlign w:val="center"/>
          </w:tcPr>
          <w:p>
            <w:pPr>
              <w:spacing w:after="20" w:before="20"/>
            </w:pPr>
            <w:r/>
            <w:r>
              <w:rPr>
                <w:rFonts w:ascii="Aptos" w:hAnsi="Aptos"/>
                <w:b w:val="0"/>
                <w:color w:val="172033"/>
                <w:sz w:val="16"/>
              </w:rPr>
              <w:t>Source and model documented; live volume not independently measured</w:t>
            </w:r>
          </w:p>
        </w:tc>
      </w:tr>
      <w:tr>
        <w:tc>
          <w:tcPr>
            <w:tcW w:type="dxa" w:w="1800"/>
            <w:vAlign w:val="center"/>
            <w:shd w:fill="F5F7FA"/>
          </w:tcPr>
          <w:p>
            <w:pPr>
              <w:spacing w:after="20" w:before="20"/>
            </w:pPr>
            <w:r/>
            <w:r>
              <w:rPr>
                <w:rFonts w:ascii="Aptos" w:hAnsi="Aptos"/>
                <w:b w:val="0"/>
                <w:color w:val="172033"/>
                <w:sz w:val="16"/>
              </w:rPr>
              <w:t>Detection</w:t>
            </w:r>
          </w:p>
        </w:tc>
        <w:tc>
          <w:tcPr>
            <w:tcW w:type="dxa" w:w="4176"/>
            <w:vAlign w:val="center"/>
            <w:shd w:fill="F5F7FA"/>
          </w:tcPr>
          <w:p>
            <w:pPr>
              <w:spacing w:after="20" w:before="20"/>
            </w:pPr>
            <w:r/>
            <w:r>
              <w:rPr>
                <w:rFonts w:ascii="Aptos" w:hAnsi="Aptos"/>
                <w:b w:val="0"/>
                <w:color w:val="172033"/>
                <w:sz w:val="16"/>
              </w:rPr>
              <w:t>Five scheduled threshold/transition rules with cooldown</w:t>
            </w:r>
          </w:p>
        </w:tc>
        <w:tc>
          <w:tcPr>
            <w:tcW w:type="dxa" w:w="4176"/>
            <w:vAlign w:val="center"/>
            <w:shd w:fill="F5F7FA"/>
          </w:tcPr>
          <w:p>
            <w:pPr>
              <w:spacing w:after="20" w:before="20"/>
            </w:pPr>
            <w:r/>
            <w:r>
              <w:rPr>
                <w:rFonts w:ascii="Aptos" w:hAnsi="Aptos"/>
                <w:b w:val="0"/>
                <w:color w:val="172033"/>
                <w:sz w:val="16"/>
              </w:rPr>
              <w:t>Rule logic in DetectionEngine and DETECTION_RULES.md</w:t>
            </w:r>
          </w:p>
        </w:tc>
      </w:tr>
      <w:tr>
        <w:tc>
          <w:tcPr>
            <w:tcW w:type="dxa" w:w="1800"/>
            <w:vAlign w:val="center"/>
          </w:tcPr>
          <w:p>
            <w:pPr>
              <w:spacing w:after="20" w:before="20"/>
            </w:pPr>
            <w:r/>
            <w:r>
              <w:rPr>
                <w:rFonts w:ascii="Aptos" w:hAnsi="Aptos"/>
                <w:b w:val="0"/>
                <w:color w:val="172033"/>
                <w:sz w:val="16"/>
              </w:rPr>
              <w:t>Storage and graph</w:t>
            </w:r>
          </w:p>
        </w:tc>
        <w:tc>
          <w:tcPr>
            <w:tcW w:type="dxa" w:w="4176"/>
            <w:vAlign w:val="center"/>
          </w:tcPr>
          <w:p>
            <w:pPr>
              <w:spacing w:after="20" w:before="20"/>
            </w:pPr>
            <w:r/>
            <w:r>
              <w:rPr>
                <w:rFonts w:ascii="Aptos" w:hAnsi="Aptos"/>
                <w:b w:val="0"/>
                <w:color w:val="172033"/>
                <w:sz w:val="16"/>
              </w:rPr>
              <w:t>SOC PostgreSQL plus Neo4j application/security/event graph</w:t>
            </w:r>
          </w:p>
        </w:tc>
        <w:tc>
          <w:tcPr>
            <w:tcW w:type="dxa" w:w="4176"/>
            <w:vAlign w:val="center"/>
          </w:tcPr>
          <w:p>
            <w:pPr>
              <w:spacing w:after="20" w:before="20"/>
            </w:pPr>
            <w:r/>
            <w:r>
              <w:rPr>
                <w:rFonts w:ascii="Aptos" w:hAnsi="Aptos"/>
                <w:b w:val="0"/>
                <w:color w:val="172033"/>
                <w:sz w:val="16"/>
              </w:rPr>
              <w:t>Entity, seeding and sync code present</w:t>
            </w:r>
          </w:p>
        </w:tc>
      </w:tr>
      <w:tr>
        <w:tc>
          <w:tcPr>
            <w:tcW w:type="dxa" w:w="1800"/>
            <w:vAlign w:val="center"/>
            <w:shd w:fill="F5F7FA"/>
          </w:tcPr>
          <w:p>
            <w:pPr>
              <w:spacing w:after="20" w:before="20"/>
            </w:pPr>
            <w:r/>
            <w:r>
              <w:rPr>
                <w:rFonts w:ascii="Aptos" w:hAnsi="Aptos"/>
                <w:b w:val="0"/>
                <w:color w:val="172033"/>
                <w:sz w:val="16"/>
              </w:rPr>
              <w:t>Question answering</w:t>
            </w:r>
          </w:p>
        </w:tc>
        <w:tc>
          <w:tcPr>
            <w:tcW w:type="dxa" w:w="4176"/>
            <w:vAlign w:val="center"/>
            <w:shd w:fill="F5F7FA"/>
          </w:tcPr>
          <w:p>
            <w:pPr>
              <w:spacing w:after="20" w:before="20"/>
            </w:pPr>
            <w:r/>
            <w:r>
              <w:rPr>
                <w:rFonts w:ascii="Aptos" w:hAnsi="Aptos"/>
                <w:b w:val="0"/>
                <w:color w:val="172033"/>
                <w:sz w:val="16"/>
              </w:rPr>
              <w:t>Six graph-query endpoints; template-based intent routing</w:t>
            </w:r>
          </w:p>
        </w:tc>
        <w:tc>
          <w:tcPr>
            <w:tcW w:type="dxa" w:w="4176"/>
            <w:vAlign w:val="center"/>
            <w:shd w:fill="F5F7FA"/>
          </w:tcPr>
          <w:p>
            <w:pPr>
              <w:spacing w:after="20" w:before="20"/>
            </w:pPr>
            <w:r/>
            <w:r>
              <w:rPr>
                <w:rFonts w:ascii="Aptos" w:hAnsi="Aptos"/>
                <w:b w:val="0"/>
                <w:color w:val="172033"/>
                <w:sz w:val="16"/>
              </w:rPr>
              <w:t>No external LLM or vector embedding; known intents only</w:t>
            </w:r>
          </w:p>
        </w:tc>
      </w:tr>
      <w:tr>
        <w:tc>
          <w:tcPr>
            <w:tcW w:type="dxa" w:w="1800"/>
            <w:vAlign w:val="center"/>
          </w:tcPr>
          <w:p>
            <w:pPr>
              <w:spacing w:after="20" w:before="20"/>
            </w:pPr>
            <w:r/>
            <w:r>
              <w:rPr>
                <w:rFonts w:ascii="Aptos" w:hAnsi="Aptos"/>
                <w:b w:val="0"/>
                <w:color w:val="172033"/>
                <w:sz w:val="16"/>
              </w:rPr>
              <w:t>Access control</w:t>
            </w:r>
          </w:p>
        </w:tc>
        <w:tc>
          <w:tcPr>
            <w:tcW w:type="dxa" w:w="4176"/>
            <w:vAlign w:val="center"/>
          </w:tcPr>
          <w:p>
            <w:pPr>
              <w:spacing w:after="20" w:before="20"/>
            </w:pPr>
            <w:r/>
            <w:r>
              <w:rPr>
                <w:rFonts w:ascii="Aptos" w:hAnsi="Aptos"/>
                <w:b w:val="0"/>
                <w:color w:val="172033"/>
                <w:sz w:val="16"/>
              </w:rPr>
              <w:t>Security insights restricted to ADMIN role; first-admin setup key</w:t>
            </w:r>
          </w:p>
        </w:tc>
        <w:tc>
          <w:tcPr>
            <w:tcW w:type="dxa" w:w="4176"/>
            <w:vAlign w:val="center"/>
          </w:tcPr>
          <w:p>
            <w:pPr>
              <w:spacing w:after="20" w:before="20"/>
            </w:pPr>
            <w:r/>
            <w:r>
              <w:rPr>
                <w:rFonts w:ascii="Aptos" w:hAnsi="Aptos"/>
                <w:b w:val="0"/>
                <w:color w:val="172033"/>
                <w:sz w:val="16"/>
              </w:rPr>
              <w:t>Gateway/SOC guards and auth setup flow present</w:t>
            </w:r>
          </w:p>
        </w:tc>
      </w:tr>
      <w:tr>
        <w:tc>
          <w:tcPr>
            <w:tcW w:type="dxa" w:w="1800"/>
            <w:vAlign w:val="center"/>
            <w:shd w:fill="F5F7FA"/>
          </w:tcPr>
          <w:p>
            <w:pPr>
              <w:spacing w:after="20" w:before="20"/>
            </w:pPr>
            <w:r/>
            <w:r>
              <w:rPr>
                <w:rFonts w:ascii="Aptos" w:hAnsi="Aptos"/>
                <w:b w:val="0"/>
                <w:color w:val="172033"/>
                <w:sz w:val="16"/>
              </w:rPr>
              <w:t>Validation</w:t>
            </w:r>
          </w:p>
        </w:tc>
        <w:tc>
          <w:tcPr>
            <w:tcW w:type="dxa" w:w="4176"/>
            <w:vAlign w:val="center"/>
            <w:shd w:fill="F5F7FA"/>
          </w:tcPr>
          <w:p>
            <w:pPr>
              <w:spacing w:after="20" w:before="20"/>
            </w:pPr>
            <w:r/>
            <w:r>
              <w:rPr>
                <w:rFonts w:ascii="Aptos" w:hAnsi="Aptos"/>
                <w:b w:val="0"/>
                <w:color w:val="172033"/>
                <w:sz w:val="16"/>
              </w:rPr>
              <w:t>Compose config and diff checks previously passed; owner reports SOC starts</w:t>
            </w:r>
          </w:p>
        </w:tc>
        <w:tc>
          <w:tcPr>
            <w:tcW w:type="dxa" w:w="4176"/>
            <w:vAlign w:val="center"/>
            <w:shd w:fill="F5F7FA"/>
          </w:tcPr>
          <w:p>
            <w:pPr>
              <w:spacing w:after="20" w:before="20"/>
            </w:pPr>
            <w:r/>
            <w:r>
              <w:rPr>
                <w:rFonts w:ascii="Aptos" w:hAnsi="Aptos"/>
                <w:b w:val="0"/>
                <w:color w:val="172033"/>
                <w:sz w:val="16"/>
              </w:rPr>
              <w:t>Full build and live RAG flow not independently verified here</w:t>
            </w:r>
          </w:p>
        </w:tc>
      </w:tr>
    </w:tbl>
    <w:p>
      <w:pPr>
        <w:spacing w:after="0"/>
      </w:pPr>
    </w:p>
    <w:p>
      <w:r>
        <w:br w:type="page"/>
      </w:r>
    </w:p>
    <w:p>
      <w:pPr>
        <w:pStyle w:val="Heading1"/>
      </w:pPr>
      <w:r>
        <w:t>1. Purpose and assessment basis</w:t>
      </w:r>
    </w:p>
    <w:p>
      <w:r>
        <w:t>This report describes the Phase 2 security monitoring implementation in the Recruitment Platform repository and evaluates it against the “ITRI623 Phase 2 Specification Sept 2026”. It focuses on architecture, design rationale, known limitations, and evidence locations. Source files and project documentation are treated as implementation evidence; descriptions of what a running deployment should display are identified as expected behavior unless a live result was captured.</w:t>
      </w:r>
    </w:p>
    <w:p>
      <w:r>
        <w:t>The specification calls for events from the gateway, authentication and at least two domain services; service health data; at least three detection rules and actionable alerts; a knowledge graph spanning application, runtime and security data; at least five graph queries; grounded natural-language questions with evidence; and a technical report. The evidence matrix in Section 8 maps these requirements to repository artifacts.</w:t>
      </w:r>
    </w:p>
    <w:tbl>
      <w:tblPr>
        <w:tblStyle w:val="TableGrid"/>
        <w:tblW w:type="auto" w:w="0"/>
        <w:jc w:val="center"/>
        <w:tblLook w:firstColumn="1" w:firstRow="1" w:lastColumn="0" w:lastRow="0" w:noHBand="0" w:noVBand="1" w:val="04A0"/>
      </w:tblPr>
      <w:tblGrid>
        <w:gridCol w:w="10080"/>
      </w:tblGrid>
      <w:tr>
        <w:tc>
          <w:tcPr>
            <w:tcW w:type="dxa" w:w="10080"/>
            <w:shd w:fill="F1EDFC"/>
          </w:tcPr>
          <w:p>
            <w:pPr>
              <w:spacing w:after="80"/>
            </w:pPr>
            <w:r/>
            <w:r>
              <w:rPr>
                <w:b/>
                <w:color w:val="7655D9"/>
              </w:rPr>
              <w:t xml:space="preserve">Assessment boundary  </w:t>
            </w:r>
            <w:r>
              <w:t>This is a source and documentation review. A developer-reported successful startup is recorded, but this environment did not independently launch the complete Compose stack, trigger attack scenarios, or capture live SOC UI responses. “Implemented” therefore means supported by repository code/documentation, not independently load-tested or production-certified.</w:t>
            </w:r>
          </w:p>
        </w:tc>
      </w:tr>
    </w:tbl>
    <w:p>
      <w:pPr>
        <w:spacing w:after="0"/>
      </w:pPr>
    </w:p>
    <w:p>
      <w:pPr>
        <w:pStyle w:val="Heading1"/>
      </w:pPr>
      <w:r>
        <w:t>2. Architecture</w:t>
      </w:r>
    </w:p>
    <w:p>
      <w:r>
        <w:t>The platform uses Spring Boot microservices behind an API gateway, with service discovery through Eureka. The SOC has its own PostgreSQL database for normalized event and alert records and uses Neo4j for connected evidence and relationship queries. The frontend routes administrators to an admin dashboard and Security insights. The SOC ingests telemetry from peers and also probes selected peer health endpoints.</w:t>
      </w:r>
    </w:p>
    <w:p>
      <w:pPr>
        <w:pStyle w:val="Heading2"/>
      </w:pPr>
      <w:r>
        <w:t>Logical components and responsibilities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00"/>
            <w:vAlign w:val="center"/>
            <w:shd w:fill="7655D9"/>
          </w:tcPr>
          <w:p>
            <w:pPr>
              <w:spacing w:after="20" w:before="20"/>
            </w:pPr>
            <w:r/>
            <w:r>
              <w:rPr>
                <w:rFonts w:ascii="Aptos" w:hAnsi="Aptos"/>
                <w:b/>
                <w:color w:val="FFFFFF"/>
                <w:sz w:val="15"/>
              </w:rPr>
              <w:t>Component</w:t>
            </w:r>
          </w:p>
        </w:tc>
        <w:tc>
          <w:tcPr>
            <w:tcW w:type="dxa" w:w="4896"/>
            <w:vAlign w:val="center"/>
            <w:shd w:fill="7655D9"/>
          </w:tcPr>
          <w:p>
            <w:pPr>
              <w:spacing w:after="20" w:before="20"/>
            </w:pPr>
            <w:r/>
            <w:r>
              <w:rPr>
                <w:rFonts w:ascii="Aptos" w:hAnsi="Aptos"/>
                <w:b/>
                <w:color w:val="FFFFFF"/>
                <w:sz w:val="15"/>
              </w:rPr>
              <w:t>Responsibility</w:t>
            </w:r>
          </w:p>
        </w:tc>
        <w:tc>
          <w:tcPr>
            <w:tcW w:type="dxa" w:w="3456"/>
            <w:vAlign w:val="center"/>
            <w:shd w:fill="7655D9"/>
          </w:tcPr>
          <w:p>
            <w:pPr>
              <w:spacing w:after="20" w:before="20"/>
            </w:pPr>
            <w:r/>
            <w:r>
              <w:rPr>
                <w:rFonts w:ascii="Aptos" w:hAnsi="Aptos"/>
                <w:b/>
                <w:color w:val="FFFFFF"/>
                <w:sz w:val="15"/>
              </w:rPr>
              <w:t>Relevant evidence</w:t>
            </w:r>
          </w:p>
        </w:tc>
      </w:tr>
      <w:tr>
        <w:tc>
          <w:tcPr>
            <w:tcW w:type="dxa" w:w="1800"/>
            <w:vAlign w:val="center"/>
          </w:tcPr>
          <w:p>
            <w:pPr>
              <w:spacing w:after="20" w:before="20"/>
            </w:pPr>
            <w:r/>
            <w:r>
              <w:rPr>
                <w:rFonts w:ascii="Aptos" w:hAnsi="Aptos"/>
                <w:b w:val="0"/>
                <w:color w:val="172033"/>
                <w:sz w:val="15"/>
              </w:rPr>
              <w:t>API gateway</w:t>
            </w:r>
          </w:p>
        </w:tc>
        <w:tc>
          <w:tcPr>
            <w:tcW w:type="dxa" w:w="4896"/>
            <w:vAlign w:val="center"/>
          </w:tcPr>
          <w:p>
            <w:pPr>
              <w:spacing w:after="20" w:before="20"/>
            </w:pPr>
            <w:r/>
            <w:r>
              <w:rPr>
                <w:rFonts w:ascii="Aptos" w:hAnsi="Aptos"/>
                <w:b w:val="0"/>
                <w:color w:val="172033"/>
                <w:sz w:val="15"/>
              </w:rPr>
              <w:t>Routes requests, assigns correlation IDs, audits request/error/authorization activity, and forwards SOC API calls subject to JWT role checks.</w:t>
            </w:r>
          </w:p>
        </w:tc>
        <w:tc>
          <w:tcPr>
            <w:tcW w:type="dxa" w:w="3456"/>
            <w:vAlign w:val="center"/>
          </w:tcPr>
          <w:p>
            <w:pPr>
              <w:spacing w:after="20" w:before="20"/>
            </w:pPr>
            <w:r/>
            <w:r>
              <w:rPr>
                <w:rFonts w:ascii="Aptos" w:hAnsi="Aptos"/>
                <w:b w:val="0"/>
                <w:color w:val="172033"/>
                <w:sz w:val="15"/>
              </w:rPr>
              <w:t>api-gateway/.../JwtAuthFilter.java; .../SocEventClient.java</w:t>
            </w:r>
          </w:p>
        </w:tc>
      </w:tr>
      <w:tr>
        <w:tc>
          <w:tcPr>
            <w:tcW w:type="dxa" w:w="1800"/>
            <w:vAlign w:val="center"/>
            <w:shd w:fill="F5F7FA"/>
          </w:tcPr>
          <w:p>
            <w:pPr>
              <w:spacing w:after="20" w:before="20"/>
            </w:pPr>
            <w:r/>
            <w:r>
              <w:rPr>
                <w:rFonts w:ascii="Aptos" w:hAnsi="Aptos"/>
                <w:b w:val="0"/>
                <w:color w:val="172033"/>
                <w:sz w:val="15"/>
              </w:rPr>
              <w:t>Auth service</w:t>
            </w:r>
          </w:p>
        </w:tc>
        <w:tc>
          <w:tcPr>
            <w:tcW w:type="dxa" w:w="4896"/>
            <w:vAlign w:val="center"/>
            <w:shd w:fill="F5F7FA"/>
          </w:tcPr>
          <w:p>
            <w:pPr>
              <w:spacing w:after="20" w:before="20"/>
            </w:pPr>
            <w:r/>
            <w:r>
              <w:rPr>
                <w:rFonts w:ascii="Aptos" w:hAnsi="Aptos"/>
                <w:b w:val="0"/>
                <w:color w:val="172033"/>
                <w:sz w:val="15"/>
              </w:rPr>
              <w:t>Handles login and first-admin setup; emits login success/failure events, with role on successful authentication.</w:t>
            </w:r>
          </w:p>
        </w:tc>
        <w:tc>
          <w:tcPr>
            <w:tcW w:type="dxa" w:w="3456"/>
            <w:vAlign w:val="center"/>
            <w:shd w:fill="F5F7FA"/>
          </w:tcPr>
          <w:p>
            <w:pPr>
              <w:spacing w:after="20" w:before="20"/>
            </w:pPr>
            <w:r/>
            <w:r>
              <w:rPr>
                <w:rFonts w:ascii="Aptos" w:hAnsi="Aptos"/>
                <w:b w:val="0"/>
                <w:color w:val="172033"/>
                <w:sz w:val="15"/>
              </w:rPr>
              <w:t>auth-service/.../AuthController.java; .../SocEventClient.java</w:t>
            </w:r>
          </w:p>
        </w:tc>
      </w:tr>
      <w:tr>
        <w:tc>
          <w:tcPr>
            <w:tcW w:type="dxa" w:w="1800"/>
            <w:vAlign w:val="center"/>
          </w:tcPr>
          <w:p>
            <w:pPr>
              <w:spacing w:after="20" w:before="20"/>
            </w:pPr>
            <w:r/>
            <w:r>
              <w:rPr>
                <w:rFonts w:ascii="Aptos" w:hAnsi="Aptos"/>
                <w:b w:val="0"/>
                <w:color w:val="172033"/>
                <w:sz w:val="15"/>
              </w:rPr>
              <w:t>Job and application services</w:t>
            </w:r>
          </w:p>
        </w:tc>
        <w:tc>
          <w:tcPr>
            <w:tcW w:type="dxa" w:w="4896"/>
            <w:vAlign w:val="center"/>
          </w:tcPr>
          <w:p>
            <w:pPr>
              <w:spacing w:after="20" w:before="20"/>
            </w:pPr>
            <w:r/>
            <w:r>
              <w:rPr>
                <w:rFonts w:ascii="Aptos" w:hAnsi="Aptos"/>
                <w:b w:val="0"/>
                <w:color w:val="172033"/>
                <w:sz w:val="15"/>
              </w:rPr>
              <w:t>Provide domain APIs and submit domain/error events; expose /health.</w:t>
            </w:r>
          </w:p>
        </w:tc>
        <w:tc>
          <w:tcPr>
            <w:tcW w:type="dxa" w:w="3456"/>
            <w:vAlign w:val="center"/>
          </w:tcPr>
          <w:p>
            <w:pPr>
              <w:spacing w:after="20" w:before="20"/>
            </w:pPr>
            <w:r/>
            <w:r>
              <w:rPr>
                <w:rFonts w:ascii="Aptos" w:hAnsi="Aptos"/>
                <w:b w:val="0"/>
                <w:color w:val="172033"/>
                <w:sz w:val="15"/>
              </w:rPr>
              <w:t>job-service/.../soc; application-service/.../soc</w:t>
            </w:r>
          </w:p>
        </w:tc>
      </w:tr>
      <w:tr>
        <w:tc>
          <w:tcPr>
            <w:tcW w:type="dxa" w:w="1800"/>
            <w:vAlign w:val="center"/>
            <w:shd w:fill="F5F7FA"/>
          </w:tcPr>
          <w:p>
            <w:pPr>
              <w:spacing w:after="20" w:before="20"/>
            </w:pPr>
            <w:r/>
            <w:r>
              <w:rPr>
                <w:rFonts w:ascii="Aptos" w:hAnsi="Aptos"/>
                <w:b w:val="0"/>
                <w:color w:val="172033"/>
                <w:sz w:val="15"/>
              </w:rPr>
              <w:t>SOC service</w:t>
            </w:r>
          </w:p>
        </w:tc>
        <w:tc>
          <w:tcPr>
            <w:tcW w:type="dxa" w:w="4896"/>
            <w:vAlign w:val="center"/>
            <w:shd w:fill="F5F7FA"/>
          </w:tcPr>
          <w:p>
            <w:pPr>
              <w:spacing w:after="20" w:before="20"/>
            </w:pPr>
            <w:r/>
            <w:r>
              <w:rPr>
                <w:rFonts w:ascii="Aptos" w:hAnsi="Aptos"/>
                <w:b w:val="0"/>
                <w:color w:val="172033"/>
                <w:sz w:val="15"/>
              </w:rPr>
              <w:t>Accepts events, persists events/alerts, runs detection and scheduled health probes, syncs graph data, serves graph and RAG APIs.</w:t>
            </w:r>
          </w:p>
        </w:tc>
        <w:tc>
          <w:tcPr>
            <w:tcW w:type="dxa" w:w="3456"/>
            <w:vAlign w:val="center"/>
            <w:shd w:fill="F5F7FA"/>
          </w:tcPr>
          <w:p>
            <w:pPr>
              <w:spacing w:after="20" w:before="20"/>
            </w:pPr>
            <w:r/>
            <w:r>
              <w:rPr>
                <w:rFonts w:ascii="Aptos" w:hAnsi="Aptos"/>
                <w:b w:val="0"/>
                <w:color w:val="172033"/>
                <w:sz w:val="15"/>
              </w:rPr>
              <w:t>soc-service/.../EventController.java, DetectionEngine.java, ServiceHealthMonitor.java</w:t>
            </w:r>
          </w:p>
        </w:tc>
      </w:tr>
      <w:tr>
        <w:tc>
          <w:tcPr>
            <w:tcW w:type="dxa" w:w="1800"/>
            <w:vAlign w:val="center"/>
          </w:tcPr>
          <w:p>
            <w:pPr>
              <w:spacing w:after="20" w:before="20"/>
            </w:pPr>
            <w:r/>
            <w:r>
              <w:rPr>
                <w:rFonts w:ascii="Aptos" w:hAnsi="Aptos"/>
                <w:b w:val="0"/>
                <w:color w:val="172033"/>
                <w:sz w:val="15"/>
              </w:rPr>
              <w:t>SOC PostgreSQL</w:t>
            </w:r>
          </w:p>
        </w:tc>
        <w:tc>
          <w:tcPr>
            <w:tcW w:type="dxa" w:w="4896"/>
            <w:vAlign w:val="center"/>
          </w:tcPr>
          <w:p>
            <w:pPr>
              <w:spacing w:after="20" w:before="20"/>
            </w:pPr>
            <w:r/>
            <w:r>
              <w:rPr>
                <w:rFonts w:ascii="Aptos" w:hAnsi="Aptos"/>
                <w:b w:val="0"/>
                <w:color w:val="172033"/>
                <w:sz w:val="15"/>
              </w:rPr>
              <w:t>Durable relational record of events and alerts for filtering and rule evaluation.</w:t>
            </w:r>
          </w:p>
        </w:tc>
        <w:tc>
          <w:tcPr>
            <w:tcW w:type="dxa" w:w="3456"/>
            <w:vAlign w:val="center"/>
          </w:tcPr>
          <w:p>
            <w:pPr>
              <w:spacing w:after="20" w:before="20"/>
            </w:pPr>
            <w:r/>
            <w:r>
              <w:rPr>
                <w:rFonts w:ascii="Aptos" w:hAnsi="Aptos"/>
                <w:b w:val="0"/>
                <w:color w:val="172033"/>
                <w:sz w:val="15"/>
              </w:rPr>
              <w:t>SOC Event/Alert entities and repositories</w:t>
            </w:r>
          </w:p>
        </w:tc>
      </w:tr>
      <w:tr>
        <w:tc>
          <w:tcPr>
            <w:tcW w:type="dxa" w:w="1800"/>
            <w:vAlign w:val="center"/>
            <w:shd w:fill="F5F7FA"/>
          </w:tcPr>
          <w:p>
            <w:pPr>
              <w:spacing w:after="20" w:before="20"/>
            </w:pPr>
            <w:r/>
            <w:r>
              <w:rPr>
                <w:rFonts w:ascii="Aptos" w:hAnsi="Aptos"/>
                <w:b w:val="0"/>
                <w:color w:val="172033"/>
                <w:sz w:val="15"/>
              </w:rPr>
              <w:t>Neo4j</w:t>
            </w:r>
          </w:p>
        </w:tc>
        <w:tc>
          <w:tcPr>
            <w:tcW w:type="dxa" w:w="4896"/>
            <w:vAlign w:val="center"/>
            <w:shd w:fill="F5F7FA"/>
          </w:tcPr>
          <w:p>
            <w:pPr>
              <w:spacing w:after="20" w:before="20"/>
            </w:pPr>
            <w:r/>
            <w:r>
              <w:rPr>
                <w:rFonts w:ascii="Aptos" w:hAnsi="Aptos"/>
                <w:b w:val="0"/>
                <w:color w:val="172033"/>
                <w:sz w:val="15"/>
              </w:rPr>
              <w:t>Connected application topology, threat/control references, and event/alert/incident evidence.</w:t>
            </w:r>
          </w:p>
        </w:tc>
        <w:tc>
          <w:tcPr>
            <w:tcW w:type="dxa" w:w="3456"/>
            <w:vAlign w:val="center"/>
            <w:shd w:fill="F5F7FA"/>
          </w:tcPr>
          <w:p>
            <w:pPr>
              <w:spacing w:after="20" w:before="20"/>
            </w:pPr>
            <w:r/>
            <w:r>
              <w:rPr>
                <w:rFonts w:ascii="Aptos" w:hAnsi="Aptos"/>
                <w:b w:val="0"/>
                <w:color w:val="172033"/>
                <w:sz w:val="15"/>
              </w:rPr>
              <w:t>GraphSeeder.java; GraphSyncService.java; GraphQueryService.java</w:t>
            </w:r>
          </w:p>
        </w:tc>
      </w:tr>
      <w:tr>
        <w:tc>
          <w:tcPr>
            <w:tcW w:type="dxa" w:w="1800"/>
            <w:vAlign w:val="center"/>
          </w:tcPr>
          <w:p>
            <w:pPr>
              <w:spacing w:after="20" w:before="20"/>
            </w:pPr>
            <w:r/>
            <w:r>
              <w:rPr>
                <w:rFonts w:ascii="Aptos" w:hAnsi="Aptos"/>
                <w:b w:val="0"/>
                <w:color w:val="172033"/>
                <w:sz w:val="15"/>
              </w:rPr>
              <w:t>Frontend</w:t>
            </w:r>
          </w:p>
        </w:tc>
        <w:tc>
          <w:tcPr>
            <w:tcW w:type="dxa" w:w="4896"/>
            <w:vAlign w:val="center"/>
          </w:tcPr>
          <w:p>
            <w:pPr>
              <w:spacing w:after="20" w:before="20"/>
            </w:pPr>
            <w:r/>
            <w:r>
              <w:rPr>
                <w:rFonts w:ascii="Aptos" w:hAnsi="Aptos"/>
                <w:b w:val="0"/>
                <w:color w:val="172033"/>
                <w:sz w:val="15"/>
              </w:rPr>
              <w:t>Admin dashboard for SOC summary/alerts and Security insights for questions and retrieved evidence.</w:t>
            </w:r>
          </w:p>
        </w:tc>
        <w:tc>
          <w:tcPr>
            <w:tcW w:type="dxa" w:w="3456"/>
            <w:vAlign w:val="center"/>
          </w:tcPr>
          <w:p>
            <w:pPr>
              <w:spacing w:after="20" w:before="20"/>
            </w:pPr>
            <w:r/>
            <w:r>
              <w:rPr>
                <w:rFonts w:ascii="Aptos" w:hAnsi="Aptos"/>
                <w:b w:val="0"/>
                <w:color w:val="172033"/>
                <w:sz w:val="15"/>
              </w:rPr>
              <w:t>frontend/src/App.jsx</w:t>
            </w:r>
          </w:p>
        </w:tc>
      </w:tr>
      <w:tr>
        <w:tc>
          <w:tcPr>
            <w:tcW w:type="dxa" w:w="1800"/>
            <w:vAlign w:val="center"/>
            <w:shd w:fill="F5F7FA"/>
          </w:tcPr>
          <w:p>
            <w:pPr>
              <w:spacing w:after="20" w:before="20"/>
            </w:pPr>
            <w:r/>
            <w:r>
              <w:rPr>
                <w:rFonts w:ascii="Aptos" w:hAnsi="Aptos"/>
                <w:b w:val="0"/>
                <w:color w:val="172033"/>
                <w:sz w:val="15"/>
              </w:rPr>
              <w:t>Eureka</w:t>
            </w:r>
          </w:p>
        </w:tc>
        <w:tc>
          <w:tcPr>
            <w:tcW w:type="dxa" w:w="4896"/>
            <w:vAlign w:val="center"/>
            <w:shd w:fill="F5F7FA"/>
          </w:tcPr>
          <w:p>
            <w:pPr>
              <w:spacing w:after="20" w:before="20"/>
            </w:pPr>
            <w:r/>
            <w:r>
              <w:rPr>
                <w:rFonts w:ascii="Aptos" w:hAnsi="Aptos"/>
                <w:b w:val="0"/>
                <w:color w:val="172033"/>
                <w:sz w:val="15"/>
              </w:rPr>
              <w:t>Service registry used for service discovery in the microservice deployment.</w:t>
            </w:r>
          </w:p>
        </w:tc>
        <w:tc>
          <w:tcPr>
            <w:tcW w:type="dxa" w:w="3456"/>
            <w:vAlign w:val="center"/>
            <w:shd w:fill="F5F7FA"/>
          </w:tcPr>
          <w:p>
            <w:pPr>
              <w:spacing w:after="20" w:before="20"/>
            </w:pPr>
            <w:r/>
            <w:r>
              <w:rPr>
                <w:rFonts w:ascii="Aptos" w:hAnsi="Aptos"/>
                <w:b w:val="0"/>
                <w:color w:val="172033"/>
                <w:sz w:val="15"/>
              </w:rPr>
              <w:t>docker-compose.yml; service configuration</w:t>
            </w:r>
          </w:p>
        </w:tc>
      </w:tr>
    </w:tbl>
    <w:p>
      <w:pPr>
        <w:spacing w:after="0"/>
      </w:pPr>
    </w:p>
    <w:p>
      <w:pPr>
        <w:pStyle w:val="Heading2"/>
      </w:pPr>
      <w:r>
        <w:t>Event-to-answer flow</w:t>
      </w:r>
    </w:p>
    <w:tbl>
      <w:tblPr>
        <w:tblStyle w:val="TableGrid"/>
        <w:tblW w:type="auto" w:w="0"/>
        <w:jc w:val="center"/>
        <w:tblLayout w:type="fixed"/>
        <w:tblLook w:firstColumn="1" w:firstRow="1" w:lastColumn="0" w:lastRow="0" w:noHBand="0" w:noVBand="1" w:val="04A0"/>
      </w:tblPr>
      <w:tblGrid>
        <w:gridCol w:w="5040"/>
        <w:gridCol w:w="5040"/>
      </w:tblGrid>
      <w:tr>
        <w:tc>
          <w:tcPr>
            <w:tcW w:type="dxa" w:w="1656"/>
            <w:vAlign w:val="center"/>
            <w:shd w:fill="7655D9"/>
          </w:tcPr>
          <w:p>
            <w:pPr>
              <w:spacing w:after="20" w:before="20"/>
            </w:pPr>
            <w:r/>
            <w:r>
              <w:rPr>
                <w:rFonts w:ascii="Aptos" w:hAnsi="Aptos"/>
                <w:b/>
                <w:color w:val="FFFFFF"/>
                <w:sz w:val="16"/>
              </w:rPr>
              <w:t>Step</w:t>
            </w:r>
          </w:p>
        </w:tc>
        <w:tc>
          <w:tcPr>
            <w:tcW w:type="dxa" w:w="8496"/>
            <w:vAlign w:val="center"/>
            <w:shd w:fill="7655D9"/>
          </w:tcPr>
          <w:p>
            <w:pPr>
              <w:spacing w:after="20" w:before="20"/>
            </w:pPr>
            <w:r/>
            <w:r>
              <w:rPr>
                <w:rFonts w:ascii="Aptos" w:hAnsi="Aptos"/>
                <w:b/>
                <w:color w:val="FFFFFF"/>
                <w:sz w:val="16"/>
              </w:rPr>
              <w:t>Flow</w:t>
            </w:r>
          </w:p>
        </w:tc>
      </w:tr>
      <w:tr>
        <w:tc>
          <w:tcPr>
            <w:tcW w:type="dxa" w:w="1656"/>
            <w:vAlign w:val="center"/>
          </w:tcPr>
          <w:p>
            <w:pPr>
              <w:spacing w:after="20" w:before="20"/>
            </w:pPr>
            <w:r/>
            <w:r>
              <w:rPr>
                <w:rFonts w:ascii="Aptos" w:hAnsi="Aptos"/>
                <w:b w:val="0"/>
                <w:color w:val="172033"/>
                <w:sz w:val="16"/>
              </w:rPr>
              <w:t>1 · Generate</w:t>
            </w:r>
          </w:p>
        </w:tc>
        <w:tc>
          <w:tcPr>
            <w:tcW w:type="dxa" w:w="8496"/>
            <w:vAlign w:val="center"/>
          </w:tcPr>
          <w:p>
            <w:pPr>
              <w:spacing w:after="20" w:before="20"/>
            </w:pPr>
            <w:r/>
            <w:r>
              <w:rPr>
                <w:rFonts w:ascii="Aptos" w:hAnsi="Aptos"/>
                <w:b w:val="0"/>
                <w:color w:val="172033"/>
                <w:sz w:val="16"/>
              </w:rPr>
              <w:t>A gateway request, auth outcome, service event, error, or monitored health transition produces a structured SOC event.</w:t>
            </w:r>
          </w:p>
        </w:tc>
      </w:tr>
      <w:tr>
        <w:tc>
          <w:tcPr>
            <w:tcW w:type="dxa" w:w="1656"/>
            <w:vAlign w:val="center"/>
            <w:shd w:fill="F5F7FA"/>
          </w:tcPr>
          <w:p>
            <w:pPr>
              <w:spacing w:after="20" w:before="20"/>
            </w:pPr>
            <w:r/>
            <w:r>
              <w:rPr>
                <w:rFonts w:ascii="Aptos" w:hAnsi="Aptos"/>
                <w:b w:val="0"/>
                <w:color w:val="172033"/>
                <w:sz w:val="16"/>
              </w:rPr>
              <w:t>2 · Deliver</w:t>
            </w:r>
          </w:p>
        </w:tc>
        <w:tc>
          <w:tcPr>
            <w:tcW w:type="dxa" w:w="8496"/>
            <w:vAlign w:val="center"/>
            <w:shd w:fill="F5F7FA"/>
          </w:tcPr>
          <w:p>
            <w:pPr>
              <w:spacing w:after="20" w:before="20"/>
            </w:pPr>
            <w:r/>
            <w:r>
              <w:rPr>
                <w:rFonts w:ascii="Aptos" w:hAnsi="Aptos"/>
                <w:b w:val="0"/>
                <w:color w:val="172033"/>
                <w:sz w:val="16"/>
              </w:rPr>
              <w:t>Service-side SOC clients send events asynchronously over HTTP to SOC. Clients have bounded queues.</w:t>
            </w:r>
          </w:p>
        </w:tc>
      </w:tr>
      <w:tr>
        <w:tc>
          <w:tcPr>
            <w:tcW w:type="dxa" w:w="1656"/>
            <w:vAlign w:val="center"/>
          </w:tcPr>
          <w:p>
            <w:pPr>
              <w:spacing w:after="20" w:before="20"/>
            </w:pPr>
            <w:r/>
            <w:r>
              <w:rPr>
                <w:rFonts w:ascii="Aptos" w:hAnsi="Aptos"/>
                <w:b w:val="0"/>
                <w:color w:val="172033"/>
                <w:sz w:val="16"/>
              </w:rPr>
              <w:t>3 · Persist</w:t>
            </w:r>
          </w:p>
        </w:tc>
        <w:tc>
          <w:tcPr>
            <w:tcW w:type="dxa" w:w="8496"/>
            <w:vAlign w:val="center"/>
          </w:tcPr>
          <w:p>
            <w:pPr>
              <w:spacing w:after="20" w:before="20"/>
            </w:pPr>
            <w:r/>
            <w:r>
              <w:rPr>
                <w:rFonts w:ascii="Aptos" w:hAnsi="Aptos"/>
                <w:b w:val="0"/>
                <w:color w:val="172033"/>
                <w:sz w:val="16"/>
              </w:rPr>
              <w:t>SOC stores the event in PostgreSQL. The scheduled detection engine evaluates recent event windows every 15 seconds.</w:t>
            </w:r>
          </w:p>
        </w:tc>
      </w:tr>
      <w:tr>
        <w:tc>
          <w:tcPr>
            <w:tcW w:type="dxa" w:w="1656"/>
            <w:vAlign w:val="center"/>
            <w:shd w:fill="F5F7FA"/>
          </w:tcPr>
          <w:p>
            <w:pPr>
              <w:spacing w:after="20" w:before="20"/>
            </w:pPr>
            <w:r/>
            <w:r>
              <w:rPr>
                <w:rFonts w:ascii="Aptos" w:hAnsi="Aptos"/>
                <w:b w:val="0"/>
                <w:color w:val="172033"/>
                <w:sz w:val="16"/>
              </w:rPr>
              <w:t>4 · Alert</w:t>
            </w:r>
          </w:p>
        </w:tc>
        <w:tc>
          <w:tcPr>
            <w:tcW w:type="dxa" w:w="8496"/>
            <w:vAlign w:val="center"/>
            <w:shd w:fill="F5F7FA"/>
          </w:tcPr>
          <w:p>
            <w:pPr>
              <w:spacing w:after="20" w:before="20"/>
            </w:pPr>
            <w:r/>
            <w:r>
              <w:rPr>
                <w:rFonts w:ascii="Aptos" w:hAnsi="Aptos"/>
                <w:b w:val="0"/>
                <w:color w:val="172033"/>
                <w:sz w:val="16"/>
              </w:rPr>
              <w:t>A matched rule creates an OPEN alert with severity, description, affected context, related event IDs, and recommended action.</w:t>
            </w:r>
          </w:p>
        </w:tc>
      </w:tr>
      <w:tr>
        <w:tc>
          <w:tcPr>
            <w:tcW w:type="dxa" w:w="1656"/>
            <w:vAlign w:val="center"/>
          </w:tcPr>
          <w:p>
            <w:pPr>
              <w:spacing w:after="20" w:before="20"/>
            </w:pPr>
            <w:r/>
            <w:r>
              <w:rPr>
                <w:rFonts w:ascii="Aptos" w:hAnsi="Aptos"/>
                <w:b w:val="0"/>
                <w:color w:val="172033"/>
                <w:sz w:val="16"/>
              </w:rPr>
              <w:t>5 · Graph</w:t>
            </w:r>
          </w:p>
        </w:tc>
        <w:tc>
          <w:tcPr>
            <w:tcW w:type="dxa" w:w="8496"/>
            <w:vAlign w:val="center"/>
          </w:tcPr>
          <w:p>
            <w:pPr>
              <w:spacing w:after="20" w:before="20"/>
            </w:pPr>
            <w:r/>
            <w:r>
              <w:rPr>
                <w:rFonts w:ascii="Aptos" w:hAnsi="Aptos"/>
                <w:b w:val="0"/>
                <w:color w:val="172033"/>
                <w:sz w:val="16"/>
              </w:rPr>
              <w:t>GraphSyncService writes event and alert evidence to Neo4j, linking them to services, endpoints, users, threats and incidents where available.</w:t>
            </w:r>
          </w:p>
        </w:tc>
      </w:tr>
      <w:tr>
        <w:tc>
          <w:tcPr>
            <w:tcW w:type="dxa" w:w="1656"/>
            <w:vAlign w:val="center"/>
            <w:shd w:fill="F5F7FA"/>
          </w:tcPr>
          <w:p>
            <w:pPr>
              <w:spacing w:after="20" w:before="20"/>
            </w:pPr>
            <w:r/>
            <w:r>
              <w:rPr>
                <w:rFonts w:ascii="Aptos" w:hAnsi="Aptos"/>
                <w:b w:val="0"/>
                <w:color w:val="172033"/>
                <w:sz w:val="16"/>
              </w:rPr>
              <w:t>6 · Ask</w:t>
            </w:r>
          </w:p>
        </w:tc>
        <w:tc>
          <w:tcPr>
            <w:tcW w:type="dxa" w:w="8496"/>
            <w:vAlign w:val="center"/>
            <w:shd w:fill="F5F7FA"/>
          </w:tcPr>
          <w:p>
            <w:pPr>
              <w:spacing w:after="20" w:before="20"/>
            </w:pPr>
            <w:r/>
            <w:r>
              <w:rPr>
                <w:rFonts w:ascii="Aptos" w:hAnsi="Aptos"/>
                <w:b w:val="0"/>
                <w:color w:val="172033"/>
                <w:sz w:val="16"/>
              </w:rPr>
              <w:t>An administrator submits a question. QuestionAnalyzer selects a supported intent, GraphQueryService executes matching Cypher, and AnswerTemplates formats an answer with retrieval evidence.</w:t>
            </w:r>
          </w:p>
        </w:tc>
      </w:tr>
    </w:tbl>
    <w:p>
      <w:pPr>
        <w:spacing w:after="0"/>
      </w:pPr>
    </w:p>
    <w:p>
      <w:r>
        <w:t>Data stores serve different jobs: PostgreSQL is the record store used by detection and alert listing; Neo4j is the relationship store used for connected queries and RAG evidence. Seeded application and security reference data provides graph context before runtime events arrive. The graph is synchronized as runtime events and alerts are handled.</w:t>
      </w:r>
    </w:p>
    <w:p>
      <w:pPr>
        <w:pStyle w:val="Heading1"/>
      </w:pPr>
      <w:r>
        <w:t>3. Event model and collection</w:t>
      </w:r>
    </w:p>
    <w:p>
      <w:r>
        <w:t>The SOC Event model covers an event identifier, timestamp, producing service, event type, severity, user identifier, source IP, endpoint, HTTP method and status, message, correlation ID, affected entity, and optional user role. The schema is intended to normalize both security signals (such as failed logins and unauthorized access) and operational signals (such as server errors and service-health transitions).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vAlign w:val="center"/>
            <w:shd w:fill="7655D9"/>
          </w:tcPr>
          <w:p>
            <w:pPr>
              <w:spacing w:after="20" w:before="20"/>
            </w:pPr>
            <w:r/>
            <w:r>
              <w:rPr>
                <w:rFonts w:ascii="Aptos" w:hAnsi="Aptos"/>
                <w:b/>
                <w:color w:val="FFFFFF"/>
                <w:sz w:val="16"/>
              </w:rPr>
              <w:t>Source</w:t>
            </w:r>
          </w:p>
        </w:tc>
        <w:tc>
          <w:tcPr>
            <w:tcW w:type="dxa" w:w="4176"/>
            <w:vAlign w:val="center"/>
            <w:shd w:fill="7655D9"/>
          </w:tcPr>
          <w:p>
            <w:pPr>
              <w:spacing w:after="20" w:before="20"/>
            </w:pPr>
            <w:r/>
            <w:r>
              <w:rPr>
                <w:rFonts w:ascii="Aptos" w:hAnsi="Aptos"/>
                <w:b/>
                <w:color w:val="FFFFFF"/>
                <w:sz w:val="16"/>
              </w:rPr>
              <w:t>Example signals</w:t>
            </w:r>
          </w:p>
        </w:tc>
        <w:tc>
          <w:tcPr>
            <w:tcW w:type="dxa" w:w="4032"/>
            <w:vAlign w:val="center"/>
            <w:shd w:fill="7655D9"/>
          </w:tcPr>
          <w:p>
            <w:pPr>
              <w:spacing w:after="20" w:before="20"/>
            </w:pPr>
            <w:r/>
            <w:r>
              <w:rPr>
                <w:rFonts w:ascii="Aptos" w:hAnsi="Aptos"/>
                <w:b/>
                <w:color w:val="FFFFFF"/>
                <w:sz w:val="16"/>
              </w:rPr>
              <w:t>Attribution and caveats</w:t>
            </w:r>
          </w:p>
        </w:tc>
      </w:tr>
      <w:tr>
        <w:tc>
          <w:tcPr>
            <w:tcW w:type="dxa" w:w="2016"/>
            <w:vAlign w:val="center"/>
          </w:tcPr>
          <w:p>
            <w:pPr>
              <w:spacing w:after="20" w:before="20"/>
            </w:pPr>
            <w:r/>
            <w:r>
              <w:rPr>
                <w:rFonts w:ascii="Aptos" w:hAnsi="Aptos"/>
                <w:b w:val="0"/>
                <w:color w:val="172033"/>
                <w:sz w:val="16"/>
              </w:rPr>
              <w:t>API gateway</w:t>
            </w:r>
          </w:p>
        </w:tc>
        <w:tc>
          <w:tcPr>
            <w:tcW w:type="dxa" w:w="4176"/>
            <w:vAlign w:val="center"/>
          </w:tcPr>
          <w:p>
            <w:pPr>
              <w:spacing w:after="20" w:before="20"/>
            </w:pPr>
            <w:r/>
            <w:r>
              <w:rPr>
                <w:rFonts w:ascii="Aptos" w:hAnsi="Aptos"/>
                <w:b w:val="0"/>
                <w:color w:val="172033"/>
                <w:sz w:val="16"/>
              </w:rPr>
              <w:t>API_REQUEST, SERVICE_ERROR and authorization-related events; correlation ID links request activity.</w:t>
            </w:r>
          </w:p>
        </w:tc>
        <w:tc>
          <w:tcPr>
            <w:tcW w:type="dxa" w:w="4032"/>
            <w:vAlign w:val="center"/>
          </w:tcPr>
          <w:p>
            <w:pPr>
              <w:spacing w:after="20" w:before="20"/>
            </w:pPr>
            <w:r/>
            <w:r>
              <w:rPr>
                <w:rFonts w:ascii="Aptos" w:hAnsi="Aptos"/>
                <w:b w:val="0"/>
                <w:color w:val="172033"/>
                <w:sz w:val="16"/>
              </w:rPr>
              <w:t>User attribution can be absent if identity is unavailable at the gateway boundary.</w:t>
            </w:r>
          </w:p>
        </w:tc>
      </w:tr>
      <w:tr>
        <w:tc>
          <w:tcPr>
            <w:tcW w:type="dxa" w:w="2016"/>
            <w:vAlign w:val="center"/>
            <w:shd w:fill="F5F7FA"/>
          </w:tcPr>
          <w:p>
            <w:pPr>
              <w:spacing w:after="20" w:before="20"/>
            </w:pPr>
            <w:r/>
            <w:r>
              <w:rPr>
                <w:rFonts w:ascii="Aptos" w:hAnsi="Aptos"/>
                <w:b w:val="0"/>
                <w:color w:val="172033"/>
                <w:sz w:val="16"/>
              </w:rPr>
              <w:t>Auth service</w:t>
            </w:r>
          </w:p>
        </w:tc>
        <w:tc>
          <w:tcPr>
            <w:tcW w:type="dxa" w:w="4176"/>
            <w:vAlign w:val="center"/>
            <w:shd w:fill="F5F7FA"/>
          </w:tcPr>
          <w:p>
            <w:pPr>
              <w:spacing w:after="20" w:before="20"/>
            </w:pPr>
            <w:r/>
            <w:r>
              <w:rPr>
                <w:rFonts w:ascii="Aptos" w:hAnsi="Aptos"/>
                <w:b w:val="0"/>
                <w:color w:val="172033"/>
                <w:sz w:val="16"/>
              </w:rPr>
              <w:t>LOGIN_FAILED and LOGIN_SUCCESS. Successful login includes account role.</w:t>
            </w:r>
          </w:p>
        </w:tc>
        <w:tc>
          <w:tcPr>
            <w:tcW w:type="dxa" w:w="4032"/>
            <w:vAlign w:val="center"/>
            <w:shd w:fill="F5F7FA"/>
          </w:tcPr>
          <w:p>
            <w:pPr>
              <w:spacing w:after="20" w:before="20"/>
            </w:pPr>
            <w:r/>
            <w:r>
              <w:rPr>
                <w:rFonts w:ascii="Aptos" w:hAnsi="Aptos"/>
                <w:b w:val="0"/>
                <w:color w:val="172033"/>
                <w:sz w:val="16"/>
              </w:rPr>
              <w:t>Failed login can identify the submitted user identifier; role may not be known.</w:t>
            </w:r>
          </w:p>
        </w:tc>
      </w:tr>
      <w:tr>
        <w:tc>
          <w:tcPr>
            <w:tcW w:type="dxa" w:w="2016"/>
            <w:vAlign w:val="center"/>
          </w:tcPr>
          <w:p>
            <w:pPr>
              <w:spacing w:after="20" w:before="20"/>
            </w:pPr>
            <w:r/>
            <w:r>
              <w:rPr>
                <w:rFonts w:ascii="Aptos" w:hAnsi="Aptos"/>
                <w:b w:val="0"/>
                <w:color w:val="172033"/>
                <w:sz w:val="16"/>
              </w:rPr>
              <w:t>Job service</w:t>
            </w:r>
          </w:p>
        </w:tc>
        <w:tc>
          <w:tcPr>
            <w:tcW w:type="dxa" w:w="4176"/>
            <w:vAlign w:val="center"/>
          </w:tcPr>
          <w:p>
            <w:pPr>
              <w:spacing w:after="20" w:before="20"/>
            </w:pPr>
            <w:r/>
            <w:r>
              <w:rPr>
                <w:rFonts w:ascii="Aptos" w:hAnsi="Aptos"/>
                <w:b w:val="0"/>
                <w:color w:val="172033"/>
                <w:sz w:val="16"/>
              </w:rPr>
              <w:t>Domain and error telemetry; /health response.</w:t>
            </w:r>
          </w:p>
        </w:tc>
        <w:tc>
          <w:tcPr>
            <w:tcW w:type="dxa" w:w="4032"/>
            <w:vAlign w:val="center"/>
          </w:tcPr>
          <w:p>
            <w:pPr>
              <w:spacing w:after="20" w:before="20"/>
            </w:pPr>
            <w:r/>
            <w:r>
              <w:rPr>
                <w:rFonts w:ascii="Aptos" w:hAnsi="Aptos"/>
                <w:b w:val="0"/>
                <w:color w:val="172033"/>
                <w:sz w:val="16"/>
              </w:rPr>
              <w:t>Representative domain service 1 required by the specification.</w:t>
            </w:r>
          </w:p>
        </w:tc>
      </w:tr>
      <w:tr>
        <w:tc>
          <w:tcPr>
            <w:tcW w:type="dxa" w:w="2016"/>
            <w:vAlign w:val="center"/>
            <w:shd w:fill="F5F7FA"/>
          </w:tcPr>
          <w:p>
            <w:pPr>
              <w:spacing w:after="20" w:before="20"/>
            </w:pPr>
            <w:r/>
            <w:r>
              <w:rPr>
                <w:rFonts w:ascii="Aptos" w:hAnsi="Aptos"/>
                <w:b w:val="0"/>
                <w:color w:val="172033"/>
                <w:sz w:val="16"/>
              </w:rPr>
              <w:t>Application service</w:t>
            </w:r>
          </w:p>
        </w:tc>
        <w:tc>
          <w:tcPr>
            <w:tcW w:type="dxa" w:w="4176"/>
            <w:vAlign w:val="center"/>
            <w:shd w:fill="F5F7FA"/>
          </w:tcPr>
          <w:p>
            <w:pPr>
              <w:spacing w:after="20" w:before="20"/>
            </w:pPr>
            <w:r/>
            <w:r>
              <w:rPr>
                <w:rFonts w:ascii="Aptos" w:hAnsi="Aptos"/>
                <w:b w:val="0"/>
                <w:color w:val="172033"/>
                <w:sz w:val="16"/>
              </w:rPr>
              <w:t>Domain and error telemetry; /health response.</w:t>
            </w:r>
          </w:p>
        </w:tc>
        <w:tc>
          <w:tcPr>
            <w:tcW w:type="dxa" w:w="4032"/>
            <w:vAlign w:val="center"/>
            <w:shd w:fill="F5F7FA"/>
          </w:tcPr>
          <w:p>
            <w:pPr>
              <w:spacing w:after="20" w:before="20"/>
            </w:pPr>
            <w:r/>
            <w:r>
              <w:rPr>
                <w:rFonts w:ascii="Aptos" w:hAnsi="Aptos"/>
                <w:b w:val="0"/>
                <w:color w:val="172033"/>
                <w:sz w:val="16"/>
              </w:rPr>
              <w:t>Representative domain service 2; error-service identity was corrected in source.</w:t>
            </w:r>
          </w:p>
        </w:tc>
      </w:tr>
      <w:tr>
        <w:tc>
          <w:tcPr>
            <w:tcW w:type="dxa" w:w="2016"/>
            <w:vAlign w:val="center"/>
          </w:tcPr>
          <w:p>
            <w:pPr>
              <w:spacing w:after="20" w:before="20"/>
            </w:pPr>
            <w:r/>
            <w:r>
              <w:rPr>
                <w:rFonts w:ascii="Aptos" w:hAnsi="Aptos"/>
                <w:b w:val="0"/>
                <w:color w:val="172033"/>
                <w:sz w:val="16"/>
              </w:rPr>
              <w:t>SOC health monitor</w:t>
            </w:r>
          </w:p>
        </w:tc>
        <w:tc>
          <w:tcPr>
            <w:tcW w:type="dxa" w:w="4176"/>
            <w:vAlign w:val="center"/>
          </w:tcPr>
          <w:p>
            <w:pPr>
              <w:spacing w:after="20" w:before="20"/>
            </w:pPr>
            <w:r/>
            <w:r>
              <w:rPr>
                <w:rFonts w:ascii="Aptos" w:hAnsi="Aptos"/>
                <w:b w:val="0"/>
                <w:color w:val="172033"/>
                <w:sz w:val="16"/>
              </w:rPr>
              <w:t>SERVICE_HEALTHY or SERVICE_HEALTH_FAILURE when a monitored service changes state.</w:t>
            </w:r>
          </w:p>
        </w:tc>
        <w:tc>
          <w:tcPr>
            <w:tcW w:type="dxa" w:w="4032"/>
            <w:vAlign w:val="center"/>
          </w:tcPr>
          <w:p>
            <w:pPr>
              <w:spacing w:after="20" w:before="20"/>
            </w:pPr>
            <w:r/>
            <w:r>
              <w:rPr>
                <w:rFonts w:ascii="Aptos" w:hAnsi="Aptos"/>
                <w:b w:val="0"/>
                <w:color w:val="172033"/>
                <w:sz w:val="16"/>
              </w:rPr>
              <w:t>Probes gateway, auth, job and application services every 30 seconds; SOC itself is excluded.</w:t>
            </w:r>
          </w:p>
        </w:tc>
      </w:tr>
    </w:tbl>
    <w:p>
      <w:pPr>
        <w:spacing w:after="0"/>
      </w:pPr>
    </w:p>
    <w:p>
      <w:r>
        <w:t>Health events are emitted on a state transition rather than every probe. A first successful probe creates a healthy transition record. Failed probes become high-severity health events, which the rule engine can turn into alerts. The HTTP /health handlers currently return simple liveness status and do not establish database or downstream readiness.</w:t>
      </w:r>
    </w:p>
    <w:p>
      <w:pPr>
        <w:pStyle w:val="Heading2"/>
      </w:pPr>
      <w:r>
        <w:t>Telemetry transport</w:t>
      </w:r>
    </w:p>
    <w:p>
      <w:r>
        <w:t>SOC clients use asynchronous HTTP delivery and a bounded queue (capacity 500 per client in the inspected implementations). This reduces request-path coupling to SOC response time, but the queue’s discard policy means delivery is not guaranteed when the queue is full; network failures can also leave telemetry missing. There is no durable message broker, replay ledger, or end-to-end delivery acknowledgement shown in the reviewed design.</w:t>
      </w:r>
    </w:p>
    <w:p>
      <w:pPr>
        <w:pStyle w:val="Heading1"/>
      </w:pPr>
      <w:r>
        <w:t>4. Detection and alert design</w:t>
      </w:r>
    </w:p>
    <w:p>
      <w:r>
        <w:t>The detection engine evaluates recent PostgreSQL event windows every 15 seconds. A ten-minute cooldown suppresses repeated alerts for the same rule and affected entity/service to reduce alert floods. Five rules exceed the specification minimum of three. Thresholds are initial demonstrator values, not calibrated operational baselines.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520"/>
            <w:vAlign w:val="center"/>
            <w:shd w:fill="7655D9"/>
          </w:tcPr>
          <w:p>
            <w:pPr>
              <w:spacing w:after="20" w:before="20"/>
            </w:pPr>
            <w:r/>
            <w:r>
              <w:rPr>
                <w:rFonts w:ascii="Aptos" w:hAnsi="Aptos"/>
                <w:b/>
                <w:color w:val="FFFFFF"/>
                <w:sz w:val="15"/>
              </w:rPr>
              <w:t>Rule and purpose</w:t>
            </w:r>
          </w:p>
        </w:tc>
        <w:tc>
          <w:tcPr>
            <w:tcW w:type="dxa" w:w="3960"/>
            <w:vAlign w:val="center"/>
            <w:shd w:fill="7655D9"/>
          </w:tcPr>
          <w:p>
            <w:pPr>
              <w:spacing w:after="20" w:before="20"/>
            </w:pPr>
            <w:r/>
            <w:r>
              <w:rPr>
                <w:rFonts w:ascii="Aptos" w:hAnsi="Aptos"/>
                <w:b/>
                <w:color w:val="FFFFFF"/>
                <w:sz w:val="15"/>
              </w:rPr>
              <w:t>Condition / severity</w:t>
            </w:r>
          </w:p>
        </w:tc>
        <w:tc>
          <w:tcPr>
            <w:tcW w:type="dxa" w:w="3816"/>
            <w:vAlign w:val="center"/>
            <w:shd w:fill="7655D9"/>
          </w:tcPr>
          <w:p>
            <w:pPr>
              <w:spacing w:after="20" w:before="20"/>
            </w:pPr>
            <w:r/>
            <w:r>
              <w:rPr>
                <w:rFonts w:ascii="Aptos" w:hAnsi="Aptos"/>
                <w:b/>
                <w:color w:val="FFFFFF"/>
                <w:sz w:val="15"/>
              </w:rPr>
              <w:t>Alert response</w:t>
            </w:r>
          </w:p>
        </w:tc>
      </w:tr>
      <w:tr>
        <w:tc>
          <w:tcPr>
            <w:tcW w:type="dxa" w:w="2520"/>
            <w:vAlign w:val="center"/>
          </w:tcPr>
          <w:p>
            <w:pPr>
              <w:spacing w:after="20" w:before="20"/>
            </w:pPr>
            <w:r/>
            <w:r>
              <w:rPr>
                <w:rFonts w:ascii="Aptos" w:hAnsi="Aptos"/>
                <w:b w:val="0"/>
                <w:color w:val="172033"/>
                <w:sz w:val="15"/>
              </w:rPr>
              <w:t>MULTIPLE_FAILED_LOGINS — identify credential guessing against one account.</w:t>
            </w:r>
          </w:p>
        </w:tc>
        <w:tc>
          <w:tcPr>
            <w:tcW w:type="dxa" w:w="3960"/>
            <w:vAlign w:val="center"/>
          </w:tcPr>
          <w:p>
            <w:pPr>
              <w:spacing w:after="20" w:before="20"/>
            </w:pPr>
            <w:r/>
            <w:r>
              <w:rPr>
                <w:rFonts w:ascii="Aptos" w:hAnsi="Aptos"/>
                <w:b w:val="0"/>
                <w:color w:val="172033"/>
                <w:sz w:val="15"/>
              </w:rPr>
              <w:t>5 or more LOGIN_FAILED events for one user in 5 minutes; HIGH.</w:t>
            </w:r>
          </w:p>
        </w:tc>
        <w:tc>
          <w:tcPr>
            <w:tcW w:type="dxa" w:w="3816"/>
            <w:vAlign w:val="center"/>
          </w:tcPr>
          <w:p>
            <w:pPr>
              <w:spacing w:after="20" w:before="20"/>
            </w:pPr>
            <w:r/>
            <w:r>
              <w:rPr>
                <w:rFonts w:ascii="Aptos" w:hAnsi="Aptos"/>
                <w:b w:val="0"/>
                <w:color w:val="172033"/>
                <w:sz w:val="15"/>
              </w:rPr>
              <w:t>Lock account temporarily and require MFA on next successful login.</w:t>
            </w:r>
          </w:p>
        </w:tc>
      </w:tr>
      <w:tr>
        <w:tc>
          <w:tcPr>
            <w:tcW w:type="dxa" w:w="2520"/>
            <w:vAlign w:val="center"/>
            <w:shd w:fill="F5F7FA"/>
          </w:tcPr>
          <w:p>
            <w:pPr>
              <w:spacing w:after="20" w:before="20"/>
            </w:pPr>
            <w:r/>
            <w:r>
              <w:rPr>
                <w:rFonts w:ascii="Aptos" w:hAnsi="Aptos"/>
                <w:b w:val="0"/>
                <w:color w:val="172033"/>
                <w:sz w:val="15"/>
              </w:rPr>
              <w:t>REPEATED_UNAUTHORISED_ACCESS — identify repeated protected-resource probing.</w:t>
            </w:r>
          </w:p>
        </w:tc>
        <w:tc>
          <w:tcPr>
            <w:tcW w:type="dxa" w:w="3960"/>
            <w:vAlign w:val="center"/>
            <w:shd w:fill="F5F7FA"/>
          </w:tcPr>
          <w:p>
            <w:pPr>
              <w:spacing w:after="20" w:before="20"/>
            </w:pPr>
            <w:r/>
            <w:r>
              <w:rPr>
                <w:rFonts w:ascii="Aptos" w:hAnsi="Aptos"/>
                <w:b w:val="0"/>
                <w:color w:val="172033"/>
                <w:sz w:val="15"/>
              </w:rPr>
              <w:t>8 or more UNAUTHORISED_ACCESS events on one endpoint in 5 minutes; MEDIUM, HIGH when at least 3 distinct source IPs are observed. Login endpoint excluded.</w:t>
            </w:r>
          </w:p>
        </w:tc>
        <w:tc>
          <w:tcPr>
            <w:tcW w:type="dxa" w:w="3816"/>
            <w:vAlign w:val="center"/>
            <w:shd w:fill="F5F7FA"/>
          </w:tcPr>
          <w:p>
            <w:pPr>
              <w:spacing w:after="20" w:before="20"/>
            </w:pPr>
            <w:r/>
            <w:r>
              <w:rPr>
                <w:rFonts w:ascii="Aptos" w:hAnsi="Aptos"/>
                <w:b w:val="0"/>
                <w:color w:val="172033"/>
                <w:sz w:val="15"/>
              </w:rPr>
              <w:t>Rate-limit or temporarily block offending IPs; inspect endpoint and origin evidence.</w:t>
            </w:r>
          </w:p>
        </w:tc>
      </w:tr>
      <w:tr>
        <w:tc>
          <w:tcPr>
            <w:tcW w:type="dxa" w:w="2520"/>
            <w:vAlign w:val="center"/>
          </w:tcPr>
          <w:p>
            <w:pPr>
              <w:spacing w:after="20" w:before="20"/>
            </w:pPr>
            <w:r/>
            <w:r>
              <w:rPr>
                <w:rFonts w:ascii="Aptos" w:hAnsi="Aptos"/>
                <w:b w:val="0"/>
                <w:color w:val="172033"/>
                <w:sz w:val="15"/>
              </w:rPr>
              <w:t>ABNORMAL_REQUEST_RATE — flag a possible request flood.</w:t>
            </w:r>
          </w:p>
        </w:tc>
        <w:tc>
          <w:tcPr>
            <w:tcW w:type="dxa" w:w="3960"/>
            <w:vAlign w:val="center"/>
          </w:tcPr>
          <w:p>
            <w:pPr>
              <w:spacing w:after="20" w:before="20"/>
            </w:pPr>
            <w:r/>
            <w:r>
              <w:rPr>
                <w:rFonts w:ascii="Aptos" w:hAnsi="Aptos"/>
                <w:b w:val="0"/>
                <w:color w:val="172033"/>
                <w:sz w:val="15"/>
              </w:rPr>
              <w:t>100 or more API_REQUEST events from one source IP in 1 minute; HIGH.</w:t>
            </w:r>
          </w:p>
        </w:tc>
        <w:tc>
          <w:tcPr>
            <w:tcW w:type="dxa" w:w="3816"/>
            <w:vAlign w:val="center"/>
          </w:tcPr>
          <w:p>
            <w:pPr>
              <w:spacing w:after="20" w:before="20"/>
            </w:pPr>
            <w:r/>
            <w:r>
              <w:rPr>
                <w:rFonts w:ascii="Aptos" w:hAnsi="Aptos"/>
                <w:b w:val="0"/>
                <w:color w:val="172033"/>
                <w:sz w:val="15"/>
              </w:rPr>
              <w:t>Throttle or temporarily block the source IP at the gateway.</w:t>
            </w:r>
          </w:p>
        </w:tc>
      </w:tr>
      <w:tr>
        <w:tc>
          <w:tcPr>
            <w:tcW w:type="dxa" w:w="2520"/>
            <w:vAlign w:val="center"/>
            <w:shd w:fill="F5F7FA"/>
          </w:tcPr>
          <w:p>
            <w:pPr>
              <w:spacing w:after="20" w:before="20"/>
            </w:pPr>
            <w:r/>
            <w:r>
              <w:rPr>
                <w:rFonts w:ascii="Aptos" w:hAnsi="Aptos"/>
                <w:b w:val="0"/>
                <w:color w:val="172033"/>
                <w:sz w:val="15"/>
              </w:rPr>
              <w:t>REPEATED_SERVICE_ERRORS — identify repeated server-side failure.</w:t>
            </w:r>
          </w:p>
        </w:tc>
        <w:tc>
          <w:tcPr>
            <w:tcW w:type="dxa" w:w="3960"/>
            <w:vAlign w:val="center"/>
            <w:shd w:fill="F5F7FA"/>
          </w:tcPr>
          <w:p>
            <w:pPr>
              <w:spacing w:after="20" w:before="20"/>
            </w:pPr>
            <w:r/>
            <w:r>
              <w:rPr>
                <w:rFonts w:ascii="Aptos" w:hAnsi="Aptos"/>
                <w:b w:val="0"/>
                <w:color w:val="172033"/>
                <w:sz w:val="15"/>
              </w:rPr>
              <w:t>5 or more SERVICE_ERROR events from one service in 5 minutes; HIGH.</w:t>
            </w:r>
          </w:p>
        </w:tc>
        <w:tc>
          <w:tcPr>
            <w:tcW w:type="dxa" w:w="3816"/>
            <w:vAlign w:val="center"/>
            <w:shd w:fill="F5F7FA"/>
          </w:tcPr>
          <w:p>
            <w:pPr>
              <w:spacing w:after="20" w:before="20"/>
            </w:pPr>
            <w:r/>
            <w:r>
              <w:rPr>
                <w:rFonts w:ascii="Aptos" w:hAnsi="Aptos"/>
                <w:b w:val="0"/>
                <w:color w:val="172033"/>
                <w:sz w:val="15"/>
              </w:rPr>
              <w:t>Check service logs and health; consider restarting the affected service.</w:t>
            </w:r>
          </w:p>
        </w:tc>
      </w:tr>
      <w:tr>
        <w:tc>
          <w:tcPr>
            <w:tcW w:type="dxa" w:w="2520"/>
            <w:vAlign w:val="center"/>
          </w:tcPr>
          <w:p>
            <w:pPr>
              <w:spacing w:after="20" w:before="20"/>
            </w:pPr>
            <w:r/>
            <w:r>
              <w:rPr>
                <w:rFonts w:ascii="Aptos" w:hAnsi="Aptos"/>
                <w:b w:val="0"/>
                <w:color w:val="172033"/>
                <w:sz w:val="15"/>
              </w:rPr>
              <w:t>SERVICE_HEALTH_FAILURE — flag a monitored service outage.</w:t>
            </w:r>
          </w:p>
        </w:tc>
        <w:tc>
          <w:tcPr>
            <w:tcW w:type="dxa" w:w="3960"/>
            <w:vAlign w:val="center"/>
          </w:tcPr>
          <w:p>
            <w:pPr>
              <w:spacing w:after="20" w:before="20"/>
            </w:pPr>
            <w:r/>
            <w:r>
              <w:rPr>
                <w:rFonts w:ascii="Aptos" w:hAnsi="Aptos"/>
                <w:b w:val="0"/>
                <w:color w:val="172033"/>
                <w:sz w:val="15"/>
              </w:rPr>
              <w:t>A health-failure transition for an affected service; HIGH.</w:t>
            </w:r>
          </w:p>
        </w:tc>
        <w:tc>
          <w:tcPr>
            <w:tcW w:type="dxa" w:w="3816"/>
            <w:vAlign w:val="center"/>
          </w:tcPr>
          <w:p>
            <w:pPr>
              <w:spacing w:after="20" w:before="20"/>
            </w:pPr>
            <w:r/>
            <w:r>
              <w:rPr>
                <w:rFonts w:ascii="Aptos" w:hAnsi="Aptos"/>
                <w:b w:val="0"/>
                <w:color w:val="172033"/>
                <w:sz w:val="15"/>
              </w:rPr>
              <w:t>Inspect health, logs and dependencies; restore availability.</w:t>
            </w:r>
          </w:p>
        </w:tc>
      </w:tr>
    </w:tbl>
    <w:p>
      <w:pPr>
        <w:spacing w:after="0"/>
      </w:pPr>
    </w:p>
    <w:p>
      <w:r>
        <w:t>Alert records include an ID, creation time, rule name, severity, status, description, related event identifiers, affected service/user/endpoint/IP when known, and a recommended action. Alerts are synchronized to Neo4j and linked to event evidence, threat context and a grouped incident where graph mappings exist. Recommended actions are advisory text; the prototype does not automatically block IPs, lock accounts, or restart services.</w:t>
      </w:r>
    </w:p>
    <w:p>
      <w:pPr>
        <w:pStyle w:val="Heading1"/>
      </w:pPr>
      <w:r>
        <w:t>5. Knowledge graph and provenance</w:t>
      </w:r>
    </w:p>
    <w:p>
      <w:r>
        <w:t>The graph is designed to join three data sources: application structure, runtime events and alerts, and security reference material. Seed data describes services, endpoints, dependencies, roles, threats, controls, vulnerability categories and response procedures. Runtime sync adds event and alert nodes and relationships. This gives queries a path from a signal to its producing service and endpoint, then to a mapped threat, control and response procedure.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7655D9"/>
          </w:tcPr>
          <w:p>
            <w:pPr>
              <w:spacing w:after="20" w:before="20"/>
            </w:pPr>
            <w:r/>
            <w:r>
              <w:rPr>
                <w:rFonts w:ascii="Aptos" w:hAnsi="Aptos"/>
                <w:b/>
                <w:color w:val="FFFFFF"/>
                <w:sz w:val="15"/>
              </w:rPr>
              <w:t>Graph area</w:t>
            </w:r>
          </w:p>
        </w:tc>
        <w:tc>
          <w:tcPr>
            <w:tcW w:type="dxa" w:w="4032"/>
            <w:vAlign w:val="center"/>
            <w:shd w:fill="7655D9"/>
          </w:tcPr>
          <w:p>
            <w:pPr>
              <w:spacing w:after="20" w:before="20"/>
            </w:pPr>
            <w:r/>
            <w:r>
              <w:rPr>
                <w:rFonts w:ascii="Aptos" w:hAnsi="Aptos"/>
                <w:b/>
                <w:color w:val="FFFFFF"/>
                <w:sz w:val="15"/>
              </w:rPr>
              <w:t>Principal labels / relationships</w:t>
            </w:r>
          </w:p>
        </w:tc>
        <w:tc>
          <w:tcPr>
            <w:tcW w:type="dxa" w:w="4320"/>
            <w:vAlign w:val="center"/>
            <w:shd w:fill="7655D9"/>
          </w:tcPr>
          <w:p>
            <w:pPr>
              <w:spacing w:after="20" w:before="20"/>
            </w:pPr>
            <w:r/>
            <w:r>
              <w:rPr>
                <w:rFonts w:ascii="Aptos" w:hAnsi="Aptos"/>
                <w:b/>
                <w:color w:val="FFFFFF"/>
                <w:sz w:val="15"/>
              </w:rPr>
              <w:t>Provenance and meaning</w:t>
            </w:r>
          </w:p>
        </w:tc>
      </w:tr>
      <w:tr>
        <w:tc>
          <w:tcPr>
            <w:tcW w:type="dxa" w:w="1944"/>
            <w:vAlign w:val="center"/>
          </w:tcPr>
          <w:p>
            <w:pPr>
              <w:spacing w:after="20" w:before="20"/>
            </w:pPr>
            <w:r/>
            <w:r>
              <w:rPr>
                <w:rFonts w:ascii="Aptos" w:hAnsi="Aptos"/>
                <w:b w:val="0"/>
                <w:color w:val="172033"/>
                <w:sz w:val="15"/>
              </w:rPr>
              <w:t>Application topology</w:t>
            </w:r>
          </w:p>
        </w:tc>
        <w:tc>
          <w:tcPr>
            <w:tcW w:type="dxa" w:w="4032"/>
            <w:vAlign w:val="center"/>
          </w:tcPr>
          <w:p>
            <w:pPr>
              <w:spacing w:after="20" w:before="20"/>
            </w:pPr>
            <w:r/>
            <w:r>
              <w:rPr>
                <w:rFonts w:ascii="Aptos" w:hAnsi="Aptos"/>
                <w:b w:val="0"/>
                <w:color w:val="172033"/>
                <w:sz w:val="15"/>
              </w:rPr>
              <w:t>Service, Endpoint, Asset; DEPENDS_ON, EXPOSES</w:t>
            </w:r>
          </w:p>
        </w:tc>
        <w:tc>
          <w:tcPr>
            <w:tcW w:type="dxa" w:w="4320"/>
            <w:vAlign w:val="center"/>
          </w:tcPr>
          <w:p>
            <w:pPr>
              <w:spacing w:after="20" w:before="20"/>
            </w:pPr>
            <w:r/>
            <w:r>
              <w:rPr>
                <w:rFonts w:ascii="Aptos" w:hAnsi="Aptos"/>
                <w:b w:val="0"/>
                <w:color w:val="172033"/>
                <w:sz w:val="15"/>
              </w:rPr>
              <w:t>Seeded from platform design and routes.</w:t>
            </w:r>
          </w:p>
        </w:tc>
      </w:tr>
      <w:tr>
        <w:tc>
          <w:tcPr>
            <w:tcW w:type="dxa" w:w="1944"/>
            <w:vAlign w:val="center"/>
            <w:shd w:fill="F5F7FA"/>
          </w:tcPr>
          <w:p>
            <w:pPr>
              <w:spacing w:after="20" w:before="20"/>
            </w:pPr>
            <w:r/>
            <w:r>
              <w:rPr>
                <w:rFonts w:ascii="Aptos" w:hAnsi="Aptos"/>
                <w:b w:val="0"/>
                <w:color w:val="172033"/>
                <w:sz w:val="15"/>
              </w:rPr>
              <w:t>Identity and activity</w:t>
            </w:r>
          </w:p>
        </w:tc>
        <w:tc>
          <w:tcPr>
            <w:tcW w:type="dxa" w:w="4032"/>
            <w:vAlign w:val="center"/>
            <w:shd w:fill="F5F7FA"/>
          </w:tcPr>
          <w:p>
            <w:pPr>
              <w:spacing w:after="20" w:before="20"/>
            </w:pPr>
            <w:r/>
            <w:r>
              <w:rPr>
                <w:rFonts w:ascii="Aptos" w:hAnsi="Aptos"/>
                <w:b w:val="0"/>
                <w:color w:val="172033"/>
                <w:sz w:val="15"/>
              </w:rPr>
              <w:t>User, Role, Event; TRIGGERED, HAS_ROLE, GENERATED_BY, TARGETED</w:t>
            </w:r>
          </w:p>
        </w:tc>
        <w:tc>
          <w:tcPr>
            <w:tcW w:type="dxa" w:w="4320"/>
            <w:vAlign w:val="center"/>
            <w:shd w:fill="F5F7FA"/>
          </w:tcPr>
          <w:p>
            <w:pPr>
              <w:spacing w:after="20" w:before="20"/>
            </w:pPr>
            <w:r/>
            <w:r>
              <w:rPr>
                <w:rFonts w:ascii="Aptos" w:hAnsi="Aptos"/>
                <w:b w:val="0"/>
                <w:color w:val="172033"/>
                <w:sz w:val="15"/>
              </w:rPr>
              <w:t>Collected runtime events; successful auth includes role where known.</w:t>
            </w:r>
          </w:p>
        </w:tc>
      </w:tr>
      <w:tr>
        <w:tc>
          <w:tcPr>
            <w:tcW w:type="dxa" w:w="1944"/>
            <w:vAlign w:val="center"/>
          </w:tcPr>
          <w:p>
            <w:pPr>
              <w:spacing w:after="20" w:before="20"/>
            </w:pPr>
            <w:r/>
            <w:r>
              <w:rPr>
                <w:rFonts w:ascii="Aptos" w:hAnsi="Aptos"/>
                <w:b w:val="0"/>
                <w:color w:val="172033"/>
                <w:sz w:val="15"/>
              </w:rPr>
              <w:t>Detection and response</w:t>
            </w:r>
          </w:p>
        </w:tc>
        <w:tc>
          <w:tcPr>
            <w:tcW w:type="dxa" w:w="4032"/>
            <w:vAlign w:val="center"/>
          </w:tcPr>
          <w:p>
            <w:pPr>
              <w:spacing w:after="20" w:before="20"/>
            </w:pPr>
            <w:r/>
            <w:r>
              <w:rPr>
                <w:rFonts w:ascii="Aptos" w:hAnsi="Aptos"/>
                <w:b w:val="0"/>
                <w:color w:val="172033"/>
                <w:sz w:val="15"/>
              </w:rPr>
              <w:t>Alert, Incident; CREATED_ALERT, AFFECTS, INDICATES, CONTAINS</w:t>
            </w:r>
          </w:p>
        </w:tc>
        <w:tc>
          <w:tcPr>
            <w:tcW w:type="dxa" w:w="4320"/>
            <w:vAlign w:val="center"/>
          </w:tcPr>
          <w:p>
            <w:pPr>
              <w:spacing w:after="20" w:before="20"/>
            </w:pPr>
            <w:r/>
            <w:r>
              <w:rPr>
                <w:rFonts w:ascii="Aptos" w:hAnsi="Aptos"/>
                <w:b w:val="0"/>
                <w:color w:val="172033"/>
                <w:sz w:val="15"/>
              </w:rPr>
              <w:t>Rule-generated alerts; incident grouping by service, mapped threat and calendar day.</w:t>
            </w:r>
          </w:p>
        </w:tc>
      </w:tr>
      <w:tr>
        <w:tc>
          <w:tcPr>
            <w:tcW w:type="dxa" w:w="1944"/>
            <w:vAlign w:val="center"/>
            <w:shd w:fill="F5F7FA"/>
          </w:tcPr>
          <w:p>
            <w:pPr>
              <w:spacing w:after="20" w:before="20"/>
            </w:pPr>
            <w:r/>
            <w:r>
              <w:rPr>
                <w:rFonts w:ascii="Aptos" w:hAnsi="Aptos"/>
                <w:b w:val="0"/>
                <w:color w:val="172033"/>
                <w:sz w:val="15"/>
              </w:rPr>
              <w:t>Security context</w:t>
            </w:r>
          </w:p>
        </w:tc>
        <w:tc>
          <w:tcPr>
            <w:tcW w:type="dxa" w:w="4032"/>
            <w:vAlign w:val="center"/>
            <w:shd w:fill="F5F7FA"/>
          </w:tcPr>
          <w:p>
            <w:pPr>
              <w:spacing w:after="20" w:before="20"/>
            </w:pPr>
            <w:r/>
            <w:r>
              <w:rPr>
                <w:rFonts w:ascii="Aptos" w:hAnsi="Aptos"/>
                <w:b w:val="0"/>
                <w:color w:val="172033"/>
                <w:sz w:val="15"/>
              </w:rPr>
              <w:t>Threat, Control, Vulnerability, Document; TARGETS, EXPLOITS, MITIGATES, DESCRIBES, SUPPORTS_RESPONSE_TO</w:t>
            </w:r>
          </w:p>
        </w:tc>
        <w:tc>
          <w:tcPr>
            <w:tcW w:type="dxa" w:w="4320"/>
            <w:vAlign w:val="center"/>
            <w:shd w:fill="F5F7FA"/>
          </w:tcPr>
          <w:p>
            <w:pPr>
              <w:spacing w:after="20" w:before="20"/>
            </w:pPr>
            <w:r/>
            <w:r>
              <w:rPr>
                <w:rFonts w:ascii="Aptos" w:hAnsi="Aptos"/>
                <w:b w:val="0"/>
                <w:color w:val="172033"/>
                <w:sz w:val="15"/>
              </w:rPr>
              <w:t>Seeded security mappings, CWE references and procedures with source URLs.</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1EDFC"/>
          </w:tcPr>
          <w:p>
            <w:pPr>
              <w:spacing w:after="80"/>
            </w:pPr>
            <w:r/>
            <w:r>
              <w:rPr>
                <w:b/>
                <w:color w:val="7655D9"/>
              </w:rPr>
              <w:t xml:space="preserve">Interpretation of vulnerability nodes  </w:t>
            </w:r>
            <w:r>
              <w:t>CWE nodes are reference weakness categories associated with modeled threats. Their presence does not establish that a vulnerability scanner found that weakness in this application.</w:t>
            </w:r>
          </w:p>
        </w:tc>
      </w:tr>
    </w:tbl>
    <w:p>
      <w:pPr>
        <w:spacing w:after="0"/>
      </w:pPr>
    </w:p>
    <w:p>
      <w:r>
        <w:t>The graph-query API exposes six patterns: alerts by service, high-severity users, controls for an alert, dependency impact, threats for a service, and a full alert evidence trail. Evidence responses include node summaries and relationship triples for presentation in Security insights. This provides a traceable query result, but the quality of the result depends on seeded mappings and data completeness.</w:t>
      </w:r>
    </w:p>
    <w:p>
      <w:pPr>
        <w:pStyle w:val="Heading2"/>
      </w:pPr>
      <w:r>
        <w:t>Graph database relationship diagram</w:t>
      </w:r>
    </w:p>
    <w:p>
      <w:r>
        <w:t>Figure 1 shows the Neo4j labels and relationship paths used to trace a failed login through detection and response. Runtime event and alert nodes are written from collected activity; threat, control, procedure, vulnerability, and role context is seeded or mapped by the application.</w:t>
      </w:r>
    </w:p>
    <w:p>
      <w:pPr>
        <w:jc w:val="center"/>
      </w:pPr>
      <w:r>
        <w:drawing>
          <wp:inline xmlns:a="http://schemas.openxmlformats.org/drawingml/2006/main" xmlns:pic="http://schemas.openxmlformats.org/drawingml/2006/picture">
            <wp:extent cx="6309360" cy="3154680"/>
            <wp:docPr id="9" name="Picture 9"/>
            <wp:cNvGraphicFramePr>
              <a:graphicFrameLocks noChangeAspect="1"/>
            </wp:cNvGraphicFramePr>
            <a:graphic>
              <a:graphicData uri="http://schemas.openxmlformats.org/drawingml/2006/picture">
                <pic:pic>
                  <pic:nvPicPr>
                    <pic:cNvPr id="0" name="soc_graph_model_diagram.png"/>
                    <pic:cNvPicPr/>
                  </pic:nvPicPr>
                  <pic:blipFill>
                    <a:blip r:embed="rId18"/>
                    <a:stretch>
                      <a:fillRect/>
                    </a:stretch>
                  </pic:blipFill>
                  <pic:spPr>
                    <a:xfrm>
                      <a:off x="0" y="0"/>
                      <a:ext cx="6309360" cy="3154680"/>
                    </a:xfrm>
                    <a:prstGeom prst="rect"/>
                  </pic:spPr>
                </pic:pic>
              </a:graphicData>
            </a:graphic>
          </wp:inline>
        </w:drawing>
      </w:r>
    </w:p>
    <w:p>
      <w:pPr>
        <w:pStyle w:val="Caption"/>
        <w:jc w:val="center"/>
      </w:pPr>
      <w:r>
        <w:t>Figure 1. SOC graph model and failed-login evidence path.</w:t>
      </w:r>
    </w:p>
    <w:p>
      <w:pPr>
        <w:pStyle w:val="Heading1"/>
      </w:pPr>
      <w:r>
        <w:t>6. SOC question-answer experience and access control</w:t>
      </w:r>
    </w:p>
    <w:p>
      <w:r>
        <w:t>The Security insights UI sends a natural-language question to the SOC RAG endpoint. QuestionAnalyzer uses keyword and regular-expression rules to classify the request into supported intents: alert explanation, controls/response, dependency impact, threats for a service, high-severity users, or alerts by service. The selected intent leads to predefined Cypher retrieval and a response template. UI output includes the response, retrieval method, graph nodes and relationship evidence.</w:t>
      </w:r>
    </w:p>
    <w:p>
      <w:r>
        <w:t>This is graph-grounded, template-based retrieval rather than a generative language model. It is deterministic and easier to audit, but it does not paraphrase broadly, reason over unseen query types, or use semantic/vector search. An unsupported question may produce no useful answer. A retrieval explanation is present; a calibrated numeric confidence score is not evidenced in the inspected implementation.</w:t>
      </w:r>
    </w:p>
    <w:p>
      <w:pPr>
        <w:pStyle w:val="Heading2"/>
      </w:pPr>
      <w:r>
        <w:t>Administrator boundary</w:t>
      </w:r>
    </w:p>
    <w:p>
      <w:r>
        <w:t>Security Insights is intended for ADMIN users. The gateway checks the role claim before forwarding SOC paths, and SOC also has an administrator JWT filter/security configuration. First-admin setup requires a configured setup key and is limited to initial account creation. This creates a protected admin area while preserving the recruitment-facing experience for other roles. The setup key must be configured consistently with the Compose environment; production deployments should use secret management and rotated signing/setup keys rather than repository development defaults.</w:t>
      </w:r>
    </w:p>
    <w:p>
      <w:pPr>
        <w:pStyle w:val="Heading1"/>
      </w:pPr>
      <w:r>
        <w:t>7. Design choices and rationale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vAlign w:val="center"/>
            <w:shd w:fill="7655D9"/>
          </w:tcPr>
          <w:p>
            <w:pPr>
              <w:spacing w:after="20" w:before="20"/>
            </w:pPr>
            <w:r/>
            <w:r>
              <w:rPr>
                <w:rFonts w:ascii="Aptos" w:hAnsi="Aptos"/>
                <w:b/>
                <w:color w:val="FFFFFF"/>
                <w:sz w:val="15"/>
              </w:rPr>
              <w:t>Choice</w:t>
            </w:r>
          </w:p>
        </w:tc>
        <w:tc>
          <w:tcPr>
            <w:tcW w:type="dxa" w:w="4032"/>
            <w:vAlign w:val="center"/>
            <w:shd w:fill="7655D9"/>
          </w:tcPr>
          <w:p>
            <w:pPr>
              <w:spacing w:after="20" w:before="20"/>
            </w:pPr>
            <w:r/>
            <w:r>
              <w:rPr>
                <w:rFonts w:ascii="Aptos" w:hAnsi="Aptos"/>
                <w:b/>
                <w:color w:val="FFFFFF"/>
                <w:sz w:val="15"/>
              </w:rPr>
              <w:t>Reason for the choice</w:t>
            </w:r>
          </w:p>
        </w:tc>
        <w:tc>
          <w:tcPr>
            <w:tcW w:type="dxa" w:w="4176"/>
            <w:vAlign w:val="center"/>
            <w:shd w:fill="7655D9"/>
          </w:tcPr>
          <w:p>
            <w:pPr>
              <w:spacing w:after="20" w:before="20"/>
            </w:pPr>
            <w:r/>
            <w:r>
              <w:rPr>
                <w:rFonts w:ascii="Aptos" w:hAnsi="Aptos"/>
                <w:b/>
                <w:color w:val="FFFFFF"/>
                <w:sz w:val="15"/>
              </w:rPr>
              <w:t>Trade-off</w:t>
            </w:r>
          </w:p>
        </w:tc>
      </w:tr>
      <w:tr>
        <w:tc>
          <w:tcPr>
            <w:tcW w:type="dxa" w:w="2088"/>
            <w:vAlign w:val="center"/>
          </w:tcPr>
          <w:p>
            <w:pPr>
              <w:spacing w:after="20" w:before="20"/>
            </w:pPr>
            <w:r/>
            <w:r>
              <w:rPr>
                <w:rFonts w:ascii="Aptos" w:hAnsi="Aptos"/>
                <w:b w:val="0"/>
                <w:color w:val="172033"/>
                <w:sz w:val="15"/>
              </w:rPr>
              <w:t>PostgreSQL plus Neo4j</w:t>
            </w:r>
          </w:p>
        </w:tc>
        <w:tc>
          <w:tcPr>
            <w:tcW w:type="dxa" w:w="4032"/>
            <w:vAlign w:val="center"/>
          </w:tcPr>
          <w:p>
            <w:pPr>
              <w:spacing w:after="20" w:before="20"/>
            </w:pPr>
            <w:r/>
            <w:r>
              <w:rPr>
                <w:rFonts w:ascii="Aptos" w:hAnsi="Aptos"/>
                <w:b w:val="0"/>
                <w:color w:val="172033"/>
                <w:sz w:val="15"/>
              </w:rPr>
              <w:t>Keep event/alert persistence and window queries relational while using graph traversals for connected evidence and dependencies.</w:t>
            </w:r>
          </w:p>
        </w:tc>
        <w:tc>
          <w:tcPr>
            <w:tcW w:type="dxa" w:w="4176"/>
            <w:vAlign w:val="center"/>
          </w:tcPr>
          <w:p>
            <w:pPr>
              <w:spacing w:after="20" w:before="20"/>
            </w:pPr>
            <w:r/>
            <w:r>
              <w:rPr>
                <w:rFonts w:ascii="Aptos" w:hAnsi="Aptos"/>
                <w:b w:val="0"/>
                <w:color w:val="172033"/>
                <w:sz w:val="15"/>
              </w:rPr>
              <w:t>Two stores require sync logic; temporary divergence is possible if graph sync fails.</w:t>
            </w:r>
          </w:p>
        </w:tc>
      </w:tr>
      <w:tr>
        <w:tc>
          <w:tcPr>
            <w:tcW w:type="dxa" w:w="2088"/>
            <w:vAlign w:val="center"/>
            <w:shd w:fill="F5F7FA"/>
          </w:tcPr>
          <w:p>
            <w:pPr>
              <w:spacing w:after="20" w:before="20"/>
            </w:pPr>
            <w:r/>
            <w:r>
              <w:rPr>
                <w:rFonts w:ascii="Aptos" w:hAnsi="Aptos"/>
                <w:b w:val="0"/>
                <w:color w:val="172033"/>
                <w:sz w:val="15"/>
              </w:rPr>
              <w:t>Template-based GraphRAG</w:t>
            </w:r>
          </w:p>
        </w:tc>
        <w:tc>
          <w:tcPr>
            <w:tcW w:type="dxa" w:w="4032"/>
            <w:vAlign w:val="center"/>
            <w:shd w:fill="F5F7FA"/>
          </w:tcPr>
          <w:p>
            <w:pPr>
              <w:spacing w:after="20" w:before="20"/>
            </w:pPr>
            <w:r/>
            <w:r>
              <w:rPr>
                <w:rFonts w:ascii="Aptos" w:hAnsi="Aptos"/>
                <w:b w:val="0"/>
                <w:color w:val="172033"/>
                <w:sz w:val="15"/>
              </w:rPr>
              <w:t>Predictable answer shape and direct mapping from intent to reviewed Cypher patterns; evidence is inspectable.</w:t>
            </w:r>
          </w:p>
        </w:tc>
        <w:tc>
          <w:tcPr>
            <w:tcW w:type="dxa" w:w="4176"/>
            <w:vAlign w:val="center"/>
            <w:shd w:fill="F5F7FA"/>
          </w:tcPr>
          <w:p>
            <w:pPr>
              <w:spacing w:after="20" w:before="20"/>
            </w:pPr>
            <w:r/>
            <w:r>
              <w:rPr>
                <w:rFonts w:ascii="Aptos" w:hAnsi="Aptos"/>
                <w:b w:val="0"/>
                <w:color w:val="172033"/>
                <w:sz w:val="15"/>
              </w:rPr>
              <w:t>Only known intents are supported; no broad semantic interpretation or model-generated synthesis.</w:t>
            </w:r>
          </w:p>
        </w:tc>
      </w:tr>
      <w:tr>
        <w:tc>
          <w:tcPr>
            <w:tcW w:type="dxa" w:w="2088"/>
            <w:vAlign w:val="center"/>
          </w:tcPr>
          <w:p>
            <w:pPr>
              <w:spacing w:after="20" w:before="20"/>
            </w:pPr>
            <w:r/>
            <w:r>
              <w:rPr>
                <w:rFonts w:ascii="Aptos" w:hAnsi="Aptos"/>
                <w:b w:val="0"/>
                <w:color w:val="172033"/>
                <w:sz w:val="15"/>
              </w:rPr>
              <w:t>Threshold rules with cooldown</w:t>
            </w:r>
          </w:p>
        </w:tc>
        <w:tc>
          <w:tcPr>
            <w:tcW w:type="dxa" w:w="4032"/>
            <w:vAlign w:val="center"/>
          </w:tcPr>
          <w:p>
            <w:pPr>
              <w:spacing w:after="20" w:before="20"/>
            </w:pPr>
            <w:r/>
            <w:r>
              <w:rPr>
                <w:rFonts w:ascii="Aptos" w:hAnsi="Aptos"/>
                <w:b w:val="0"/>
                <w:color w:val="172033"/>
                <w:sz w:val="15"/>
              </w:rPr>
              <w:t>Simple to explain and demonstrate; cooldown limits duplicate alert noise.</w:t>
            </w:r>
          </w:p>
        </w:tc>
        <w:tc>
          <w:tcPr>
            <w:tcW w:type="dxa" w:w="4176"/>
            <w:vAlign w:val="center"/>
          </w:tcPr>
          <w:p>
            <w:pPr>
              <w:spacing w:after="20" w:before="20"/>
            </w:pPr>
            <w:r/>
            <w:r>
              <w:rPr>
                <w:rFonts w:ascii="Aptos" w:hAnsi="Aptos"/>
                <w:b w:val="0"/>
                <w:color w:val="172033"/>
                <w:sz w:val="15"/>
              </w:rPr>
              <w:t>Fixed thresholds may create false positives/negatives and need tuning for production traffic.</w:t>
            </w:r>
          </w:p>
        </w:tc>
      </w:tr>
      <w:tr>
        <w:tc>
          <w:tcPr>
            <w:tcW w:type="dxa" w:w="2088"/>
            <w:vAlign w:val="center"/>
            <w:shd w:fill="F5F7FA"/>
          </w:tcPr>
          <w:p>
            <w:pPr>
              <w:spacing w:after="20" w:before="20"/>
            </w:pPr>
            <w:r/>
            <w:r>
              <w:rPr>
                <w:rFonts w:ascii="Aptos" w:hAnsi="Aptos"/>
                <w:b w:val="0"/>
                <w:color w:val="172033"/>
                <w:sz w:val="15"/>
              </w:rPr>
              <w:t>Health state transitions</w:t>
            </w:r>
          </w:p>
        </w:tc>
        <w:tc>
          <w:tcPr>
            <w:tcW w:type="dxa" w:w="4032"/>
            <w:vAlign w:val="center"/>
            <w:shd w:fill="F5F7FA"/>
          </w:tcPr>
          <w:p>
            <w:pPr>
              <w:spacing w:after="20" w:before="20"/>
            </w:pPr>
            <w:r/>
            <w:r>
              <w:rPr>
                <w:rFonts w:ascii="Aptos" w:hAnsi="Aptos"/>
                <w:b w:val="0"/>
                <w:color w:val="172033"/>
                <w:sz w:val="15"/>
              </w:rPr>
              <w:t>Records meaningful changes instead of generating a record each polling interval.</w:t>
            </w:r>
          </w:p>
        </w:tc>
        <w:tc>
          <w:tcPr>
            <w:tcW w:type="dxa" w:w="4176"/>
            <w:vAlign w:val="center"/>
            <w:shd w:fill="F5F7FA"/>
          </w:tcPr>
          <w:p>
            <w:pPr>
              <w:spacing w:after="20" w:before="20"/>
            </w:pPr>
            <w:r/>
            <w:r>
              <w:rPr>
                <w:rFonts w:ascii="Aptos" w:hAnsi="Aptos"/>
                <w:b w:val="0"/>
                <w:color w:val="172033"/>
                <w:sz w:val="15"/>
              </w:rPr>
              <w:t>A transient failure between checks may be missed; probe is not deep readiness.</w:t>
            </w:r>
          </w:p>
        </w:tc>
      </w:tr>
      <w:tr>
        <w:tc>
          <w:tcPr>
            <w:tcW w:type="dxa" w:w="2088"/>
            <w:vAlign w:val="center"/>
          </w:tcPr>
          <w:p>
            <w:pPr>
              <w:spacing w:after="20" w:before="20"/>
            </w:pPr>
            <w:r/>
            <w:r>
              <w:rPr>
                <w:rFonts w:ascii="Aptos" w:hAnsi="Aptos"/>
                <w:b w:val="0"/>
                <w:color w:val="172033"/>
                <w:sz w:val="15"/>
              </w:rPr>
              <w:t>Seeded threat/control/procedure data</w:t>
            </w:r>
          </w:p>
        </w:tc>
        <w:tc>
          <w:tcPr>
            <w:tcW w:type="dxa" w:w="4032"/>
            <w:vAlign w:val="center"/>
          </w:tcPr>
          <w:p>
            <w:pPr>
              <w:spacing w:after="20" w:before="20"/>
            </w:pPr>
            <w:r/>
            <w:r>
              <w:rPr>
                <w:rFonts w:ascii="Aptos" w:hAnsi="Aptos"/>
                <w:b w:val="0"/>
                <w:color w:val="172033"/>
                <w:sz w:val="15"/>
              </w:rPr>
              <w:t>Provides contextual graph relationships and sourceable security reference information.</w:t>
            </w:r>
          </w:p>
        </w:tc>
        <w:tc>
          <w:tcPr>
            <w:tcW w:type="dxa" w:w="4176"/>
            <w:vAlign w:val="center"/>
          </w:tcPr>
          <w:p>
            <w:pPr>
              <w:spacing w:after="20" w:before="20"/>
            </w:pPr>
            <w:r/>
            <w:r>
              <w:rPr>
                <w:rFonts w:ascii="Aptos" w:hAnsi="Aptos"/>
                <w:b w:val="0"/>
                <w:color w:val="172033"/>
                <w:sz w:val="15"/>
              </w:rPr>
              <w:t>Mappings are curated starter data and may not represent the application’s actual exposure.</w:t>
            </w:r>
          </w:p>
        </w:tc>
      </w:tr>
      <w:tr>
        <w:tc>
          <w:tcPr>
            <w:tcW w:type="dxa" w:w="2088"/>
            <w:vAlign w:val="center"/>
            <w:shd w:fill="F5F7FA"/>
          </w:tcPr>
          <w:p>
            <w:pPr>
              <w:spacing w:after="20" w:before="20"/>
            </w:pPr>
            <w:r/>
            <w:r>
              <w:rPr>
                <w:rFonts w:ascii="Aptos" w:hAnsi="Aptos"/>
                <w:b w:val="0"/>
                <w:color w:val="172033"/>
                <w:sz w:val="15"/>
              </w:rPr>
              <w:t>Role-based admin UI and API</w:t>
            </w:r>
          </w:p>
        </w:tc>
        <w:tc>
          <w:tcPr>
            <w:tcW w:type="dxa" w:w="4032"/>
            <w:vAlign w:val="center"/>
            <w:shd w:fill="F5F7FA"/>
          </w:tcPr>
          <w:p>
            <w:pPr>
              <w:spacing w:after="20" w:before="20"/>
            </w:pPr>
            <w:r/>
            <w:r>
              <w:rPr>
                <w:rFonts w:ascii="Aptos" w:hAnsi="Aptos"/>
                <w:b w:val="0"/>
                <w:color w:val="172033"/>
                <w:sz w:val="15"/>
              </w:rPr>
              <w:t>Restricts sensitive alerts and graph questions to administrator accounts at more than one layer.</w:t>
            </w:r>
          </w:p>
        </w:tc>
        <w:tc>
          <w:tcPr>
            <w:tcW w:type="dxa" w:w="4176"/>
            <w:vAlign w:val="center"/>
            <w:shd w:fill="F5F7FA"/>
          </w:tcPr>
          <w:p>
            <w:pPr>
              <w:spacing w:after="20" w:before="20"/>
            </w:pPr>
            <w:r/>
            <w:r>
              <w:rPr>
                <w:rFonts w:ascii="Aptos" w:hAnsi="Aptos"/>
                <w:b w:val="0"/>
                <w:color w:val="172033"/>
                <w:sz w:val="15"/>
              </w:rPr>
              <w:t>Requires correct gateway/SOC token configuration and careful key/secret deployment.</w:t>
            </w:r>
          </w:p>
        </w:tc>
      </w:tr>
    </w:tbl>
    <w:p>
      <w:pPr>
        <w:spacing w:after="0"/>
      </w:pPr>
    </w:p>
    <w:p>
      <w:pPr>
        <w:pStyle w:val="Heading1"/>
      </w:pPr>
      <w:r>
        <w:t>8. Limitations, risks and next steps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76"/>
            <w:vAlign w:val="center"/>
            <w:shd w:fill="7655D9"/>
          </w:tcPr>
          <w:p>
            <w:pPr>
              <w:spacing w:after="20" w:before="20"/>
            </w:pPr>
            <w:r/>
            <w:r>
              <w:rPr>
                <w:rFonts w:ascii="Aptos" w:hAnsi="Aptos"/>
                <w:b/>
                <w:color w:val="FFFFFF"/>
                <w:sz w:val="15"/>
              </w:rPr>
              <w:t>Limitation</w:t>
            </w:r>
          </w:p>
        </w:tc>
        <w:tc>
          <w:tcPr>
            <w:tcW w:type="dxa" w:w="3960"/>
            <w:vAlign w:val="center"/>
            <w:shd w:fill="7655D9"/>
          </w:tcPr>
          <w:p>
            <w:pPr>
              <w:spacing w:after="20" w:before="20"/>
            </w:pPr>
            <w:r/>
            <w:r>
              <w:rPr>
                <w:rFonts w:ascii="Aptos" w:hAnsi="Aptos"/>
                <w:b/>
                <w:color w:val="FFFFFF"/>
                <w:sz w:val="15"/>
              </w:rPr>
              <w:t>Effect</w:t>
            </w:r>
          </w:p>
        </w:tc>
        <w:tc>
          <w:tcPr>
            <w:tcW w:type="dxa" w:w="3960"/>
            <w:vAlign w:val="center"/>
            <w:shd w:fill="7655D9"/>
          </w:tcPr>
          <w:p>
            <w:pPr>
              <w:spacing w:after="20" w:before="20"/>
            </w:pPr>
            <w:r/>
            <w:r>
              <w:rPr>
                <w:rFonts w:ascii="Aptos" w:hAnsi="Aptos"/>
                <w:b/>
                <w:color w:val="FFFFFF"/>
                <w:sz w:val="15"/>
              </w:rPr>
              <w:t>Practical next step</w:t>
            </w:r>
          </w:p>
        </w:tc>
      </w:tr>
      <w:tr>
        <w:tc>
          <w:tcPr>
            <w:tcW w:type="dxa" w:w="2376"/>
            <w:vAlign w:val="center"/>
          </w:tcPr>
          <w:p>
            <w:pPr>
              <w:spacing w:after="20" w:before="20"/>
            </w:pPr>
            <w:r/>
            <w:r>
              <w:rPr>
                <w:rFonts w:ascii="Aptos" w:hAnsi="Aptos"/>
                <w:b w:val="0"/>
                <w:color w:val="172033"/>
                <w:sz w:val="15"/>
              </w:rPr>
              <w:t>Telemetry is best-effort HTTP with bounded queues and discard behavior.</w:t>
            </w:r>
          </w:p>
        </w:tc>
        <w:tc>
          <w:tcPr>
            <w:tcW w:type="dxa" w:w="3960"/>
            <w:vAlign w:val="center"/>
          </w:tcPr>
          <w:p>
            <w:pPr>
              <w:spacing w:after="20" w:before="20"/>
            </w:pPr>
            <w:r/>
            <w:r>
              <w:rPr>
                <w:rFonts w:ascii="Aptos" w:hAnsi="Aptos"/>
                <w:b w:val="0"/>
                <w:color w:val="172033"/>
                <w:sz w:val="15"/>
              </w:rPr>
              <w:t>SOC outages, transient failures or overload can cause missing evidence and missed detections.</w:t>
            </w:r>
          </w:p>
        </w:tc>
        <w:tc>
          <w:tcPr>
            <w:tcW w:type="dxa" w:w="3960"/>
            <w:vAlign w:val="center"/>
          </w:tcPr>
          <w:p>
            <w:pPr>
              <w:spacing w:after="20" w:before="20"/>
            </w:pPr>
            <w:r/>
            <w:r>
              <w:rPr>
                <w:rFonts w:ascii="Aptos" w:hAnsi="Aptos"/>
                <w:b w:val="0"/>
                <w:color w:val="172033"/>
                <w:sz w:val="15"/>
              </w:rPr>
              <w:t>Adopt a durable broker/outbox, retries, delivery metrics, replay and idempotent ingestion.</w:t>
            </w:r>
          </w:p>
        </w:tc>
      </w:tr>
      <w:tr>
        <w:tc>
          <w:tcPr>
            <w:tcW w:type="dxa" w:w="2376"/>
            <w:vAlign w:val="center"/>
            <w:shd w:fill="F5F7FA"/>
          </w:tcPr>
          <w:p>
            <w:pPr>
              <w:spacing w:after="20" w:before="20"/>
            </w:pPr>
            <w:r/>
            <w:r>
              <w:rPr>
                <w:rFonts w:ascii="Aptos" w:hAnsi="Aptos"/>
                <w:b w:val="0"/>
                <w:color w:val="172033"/>
                <w:sz w:val="15"/>
              </w:rPr>
              <w:t>Liveness-only service health endpoints.</w:t>
            </w:r>
          </w:p>
        </w:tc>
        <w:tc>
          <w:tcPr>
            <w:tcW w:type="dxa" w:w="3960"/>
            <w:vAlign w:val="center"/>
            <w:shd w:fill="F5F7FA"/>
          </w:tcPr>
          <w:p>
            <w:pPr>
              <w:spacing w:after="20" w:before="20"/>
            </w:pPr>
            <w:r/>
            <w:r>
              <w:rPr>
                <w:rFonts w:ascii="Aptos" w:hAnsi="Aptos"/>
                <w:b w:val="0"/>
                <w:color w:val="172033"/>
                <w:sz w:val="15"/>
              </w:rPr>
              <w:t>A process can answer /health while its database or dependencies are unavailable.</w:t>
            </w:r>
          </w:p>
        </w:tc>
        <w:tc>
          <w:tcPr>
            <w:tcW w:type="dxa" w:w="3960"/>
            <w:vAlign w:val="center"/>
            <w:shd w:fill="F5F7FA"/>
          </w:tcPr>
          <w:p>
            <w:pPr>
              <w:spacing w:after="20" w:before="20"/>
            </w:pPr>
            <w:r/>
            <w:r>
              <w:rPr>
                <w:rFonts w:ascii="Aptos" w:hAnsi="Aptos"/>
                <w:b w:val="0"/>
                <w:color w:val="172033"/>
                <w:sz w:val="15"/>
              </w:rPr>
              <w:t>Add Spring readiness checks for database/downstream connectivity; separate liveness and readiness.</w:t>
            </w:r>
          </w:p>
        </w:tc>
      </w:tr>
      <w:tr>
        <w:tc>
          <w:tcPr>
            <w:tcW w:type="dxa" w:w="2376"/>
            <w:vAlign w:val="center"/>
          </w:tcPr>
          <w:p>
            <w:pPr>
              <w:spacing w:after="20" w:before="20"/>
            </w:pPr>
            <w:r/>
            <w:r>
              <w:rPr>
                <w:rFonts w:ascii="Aptos" w:hAnsi="Aptos"/>
                <w:b w:val="0"/>
                <w:color w:val="172033"/>
                <w:sz w:val="15"/>
              </w:rPr>
              <w:t>Static thresholds and simple cooldown keys.</w:t>
            </w:r>
          </w:p>
        </w:tc>
        <w:tc>
          <w:tcPr>
            <w:tcW w:type="dxa" w:w="3960"/>
            <w:vAlign w:val="center"/>
          </w:tcPr>
          <w:p>
            <w:pPr>
              <w:spacing w:after="20" w:before="20"/>
            </w:pPr>
            <w:r/>
            <w:r>
              <w:rPr>
                <w:rFonts w:ascii="Aptos" w:hAnsi="Aptos"/>
                <w:b w:val="0"/>
                <w:color w:val="172033"/>
                <w:sz w:val="15"/>
              </w:rPr>
              <w:t>Traffic variations may produce false alerts or suppress distinct events; rules are not statistically calibrated.</w:t>
            </w:r>
          </w:p>
        </w:tc>
        <w:tc>
          <w:tcPr>
            <w:tcW w:type="dxa" w:w="3960"/>
            <w:vAlign w:val="center"/>
          </w:tcPr>
          <w:p>
            <w:pPr>
              <w:spacing w:after="20" w:before="20"/>
            </w:pPr>
            <w:r/>
            <w:r>
              <w:rPr>
                <w:rFonts w:ascii="Aptos" w:hAnsi="Aptos"/>
                <w:b w:val="0"/>
                <w:color w:val="172033"/>
                <w:sz w:val="15"/>
              </w:rPr>
              <w:t>Baseline traffic, test scenarios, tune windows/thresholds, and add rule configuration and evaluation metrics.</w:t>
            </w:r>
          </w:p>
        </w:tc>
      </w:tr>
      <w:tr>
        <w:tc>
          <w:tcPr>
            <w:tcW w:type="dxa" w:w="2376"/>
            <w:vAlign w:val="center"/>
            <w:shd w:fill="F5F7FA"/>
          </w:tcPr>
          <w:p>
            <w:pPr>
              <w:spacing w:after="20" w:before="20"/>
            </w:pPr>
            <w:r/>
            <w:r>
              <w:rPr>
                <w:rFonts w:ascii="Aptos" w:hAnsi="Aptos"/>
                <w:b w:val="0"/>
                <w:color w:val="172033"/>
                <w:sz w:val="15"/>
              </w:rPr>
              <w:t>Question routing uses keywords and fixed intents.</w:t>
            </w:r>
          </w:p>
        </w:tc>
        <w:tc>
          <w:tcPr>
            <w:tcW w:type="dxa" w:w="3960"/>
            <w:vAlign w:val="center"/>
            <w:shd w:fill="F5F7FA"/>
          </w:tcPr>
          <w:p>
            <w:pPr>
              <w:spacing w:after="20" w:before="20"/>
            </w:pPr>
            <w:r/>
            <w:r>
              <w:rPr>
                <w:rFonts w:ascii="Aptos" w:hAnsi="Aptos"/>
                <w:b w:val="0"/>
                <w:color w:val="172033"/>
                <w:sz w:val="15"/>
              </w:rPr>
              <w:t>Alternate phrasing and compound questions may be misunderstood; no general RAG or confidence scoring.</w:t>
            </w:r>
          </w:p>
        </w:tc>
        <w:tc>
          <w:tcPr>
            <w:tcW w:type="dxa" w:w="3960"/>
            <w:vAlign w:val="center"/>
            <w:shd w:fill="F5F7FA"/>
          </w:tcPr>
          <w:p>
            <w:pPr>
              <w:spacing w:after="20" w:before="20"/>
            </w:pPr>
            <w:r/>
            <w:r>
              <w:rPr>
                <w:rFonts w:ascii="Aptos" w:hAnsi="Aptos"/>
                <w:b w:val="0"/>
                <w:color w:val="172033"/>
                <w:sz w:val="15"/>
              </w:rPr>
              <w:t>Add intent coverage tests, explicit unsupported-question UX, richer retrieval explanations and confidence grounded in result coverage.</w:t>
            </w:r>
          </w:p>
        </w:tc>
      </w:tr>
      <w:tr>
        <w:tc>
          <w:tcPr>
            <w:tcW w:type="dxa" w:w="2376"/>
            <w:vAlign w:val="center"/>
          </w:tcPr>
          <w:p>
            <w:pPr>
              <w:spacing w:after="20" w:before="20"/>
            </w:pPr>
            <w:r/>
            <w:r>
              <w:rPr>
                <w:rFonts w:ascii="Aptos" w:hAnsi="Aptos"/>
                <w:b w:val="0"/>
                <w:color w:val="172033"/>
                <w:sz w:val="15"/>
              </w:rPr>
              <w:t>Incident grouping uses service, threat and calendar day.</w:t>
            </w:r>
          </w:p>
        </w:tc>
        <w:tc>
          <w:tcPr>
            <w:tcW w:type="dxa" w:w="3960"/>
            <w:vAlign w:val="center"/>
          </w:tcPr>
          <w:p>
            <w:pPr>
              <w:spacing w:after="20" w:before="20"/>
            </w:pPr>
            <w:r/>
            <w:r>
              <w:rPr>
                <w:rFonts w:ascii="Aptos" w:hAnsi="Aptos"/>
                <w:b w:val="0"/>
                <w:color w:val="172033"/>
                <w:sz w:val="15"/>
              </w:rPr>
              <w:t>Related activity across midnight or separate campaigns can be merged/split incorrectly; no incident lifecycle.</w:t>
            </w:r>
          </w:p>
        </w:tc>
        <w:tc>
          <w:tcPr>
            <w:tcW w:type="dxa" w:w="3960"/>
            <w:vAlign w:val="center"/>
          </w:tcPr>
          <w:p>
            <w:pPr>
              <w:spacing w:after="20" w:before="20"/>
            </w:pPr>
            <w:r/>
            <w:r>
              <w:rPr>
                <w:rFonts w:ascii="Aptos" w:hAnsi="Aptos"/>
                <w:b w:val="0"/>
                <w:color w:val="172033"/>
                <w:sz w:val="15"/>
              </w:rPr>
              <w:t>Add correlation windows, ownership, acknowledgement, closure and audit history.</w:t>
            </w:r>
          </w:p>
        </w:tc>
      </w:tr>
      <w:tr>
        <w:tc>
          <w:tcPr>
            <w:tcW w:type="dxa" w:w="2376"/>
            <w:vAlign w:val="center"/>
            <w:shd w:fill="F5F7FA"/>
          </w:tcPr>
          <w:p>
            <w:pPr>
              <w:spacing w:after="20" w:before="20"/>
            </w:pPr>
            <w:r/>
            <w:r>
              <w:rPr>
                <w:rFonts w:ascii="Aptos" w:hAnsi="Aptos"/>
                <w:b w:val="0"/>
                <w:color w:val="172033"/>
                <w:sz w:val="15"/>
              </w:rPr>
              <w:t>Security mappings are seeded reference data.</w:t>
            </w:r>
          </w:p>
        </w:tc>
        <w:tc>
          <w:tcPr>
            <w:tcW w:type="dxa" w:w="3960"/>
            <w:vAlign w:val="center"/>
            <w:shd w:fill="F5F7FA"/>
          </w:tcPr>
          <w:p>
            <w:pPr>
              <w:spacing w:after="20" w:before="20"/>
            </w:pPr>
            <w:r/>
            <w:r>
              <w:rPr>
                <w:rFonts w:ascii="Aptos" w:hAnsi="Aptos"/>
                <w:b w:val="0"/>
                <w:color w:val="172033"/>
                <w:sz w:val="15"/>
              </w:rPr>
              <w:t>Threat/CWE/control links may be illustrative rather than a verified finding.</w:t>
            </w:r>
          </w:p>
        </w:tc>
        <w:tc>
          <w:tcPr>
            <w:tcW w:type="dxa" w:w="3960"/>
            <w:vAlign w:val="center"/>
            <w:shd w:fill="F5F7FA"/>
          </w:tcPr>
          <w:p>
            <w:pPr>
              <w:spacing w:after="20" w:before="20"/>
            </w:pPr>
            <w:r/>
            <w:r>
              <w:rPr>
                <w:rFonts w:ascii="Aptos" w:hAnsi="Aptos"/>
                <w:b w:val="0"/>
                <w:color w:val="172033"/>
                <w:sz w:val="15"/>
              </w:rPr>
              <w:t>Record source/version/date and mapping rationale; label inferred versus observed relations.</w:t>
            </w:r>
          </w:p>
        </w:tc>
      </w:tr>
      <w:tr>
        <w:tc>
          <w:tcPr>
            <w:tcW w:type="dxa" w:w="2376"/>
            <w:vAlign w:val="center"/>
          </w:tcPr>
          <w:p>
            <w:pPr>
              <w:spacing w:after="20" w:before="20"/>
            </w:pPr>
            <w:r/>
            <w:r>
              <w:rPr>
                <w:rFonts w:ascii="Aptos" w:hAnsi="Aptos"/>
                <w:b w:val="0"/>
                <w:color w:val="172033"/>
                <w:sz w:val="15"/>
              </w:rPr>
              <w:t>Operational security configuration includes development-oriented defaults in local properties/Compose.</w:t>
            </w:r>
          </w:p>
        </w:tc>
        <w:tc>
          <w:tcPr>
            <w:tcW w:type="dxa" w:w="3960"/>
            <w:vAlign w:val="center"/>
          </w:tcPr>
          <w:p>
            <w:pPr>
              <w:spacing w:after="20" w:before="20"/>
            </w:pPr>
            <w:r/>
            <w:r>
              <w:rPr>
                <w:rFonts w:ascii="Aptos" w:hAnsi="Aptos"/>
                <w:b w:val="0"/>
                <w:color w:val="172033"/>
                <w:sz w:val="15"/>
              </w:rPr>
              <w:t>Hard-coded development credentials or signing keys are unsafe if reused outside local development.</w:t>
            </w:r>
          </w:p>
        </w:tc>
        <w:tc>
          <w:tcPr>
            <w:tcW w:type="dxa" w:w="3960"/>
            <w:vAlign w:val="center"/>
          </w:tcPr>
          <w:p>
            <w:pPr>
              <w:spacing w:after="20" w:before="20"/>
            </w:pPr>
            <w:r/>
            <w:r>
              <w:rPr>
                <w:rFonts w:ascii="Aptos" w:hAnsi="Aptos"/>
                <w:b w:val="0"/>
                <w:color w:val="172033"/>
                <w:sz w:val="15"/>
              </w:rPr>
              <w:t>Use deployment secrets, strong unique keys, rotation, and documented production profiles.</w:t>
            </w:r>
          </w:p>
        </w:tc>
      </w:tr>
      <w:tr>
        <w:tc>
          <w:tcPr>
            <w:tcW w:type="dxa" w:w="2376"/>
            <w:vAlign w:val="center"/>
            <w:shd w:fill="F5F7FA"/>
          </w:tcPr>
          <w:p>
            <w:pPr>
              <w:spacing w:after="20" w:before="20"/>
            </w:pPr>
            <w:r/>
            <w:r>
              <w:rPr>
                <w:rFonts w:ascii="Aptos" w:hAnsi="Aptos"/>
                <w:b w:val="0"/>
                <w:color w:val="172033"/>
                <w:sz w:val="15"/>
              </w:rPr>
              <w:t>Live end-to-end acceptance evidence is not captured here.</w:t>
            </w:r>
          </w:p>
        </w:tc>
        <w:tc>
          <w:tcPr>
            <w:tcW w:type="dxa" w:w="3960"/>
            <w:vAlign w:val="center"/>
            <w:shd w:fill="F5F7FA"/>
          </w:tcPr>
          <w:p>
            <w:pPr>
              <w:spacing w:after="20" w:before="20"/>
            </w:pPr>
            <w:r/>
            <w:r>
              <w:rPr>
                <w:rFonts w:ascii="Aptos" w:hAnsi="Aptos"/>
                <w:b w:val="0"/>
                <w:color w:val="172033"/>
                <w:sz w:val="15"/>
              </w:rPr>
              <w:t>Source coverage does not prove each scenario produces the expected UI evidence on the deployed stack.</w:t>
            </w:r>
          </w:p>
        </w:tc>
        <w:tc>
          <w:tcPr>
            <w:tcW w:type="dxa" w:w="3960"/>
            <w:vAlign w:val="center"/>
            <w:shd w:fill="F5F7FA"/>
          </w:tcPr>
          <w:p>
            <w:pPr>
              <w:spacing w:after="20" w:before="20"/>
            </w:pPr>
            <w:r/>
            <w:r>
              <w:rPr>
                <w:rFonts w:ascii="Aptos" w:hAnsi="Aptos"/>
                <w:b w:val="0"/>
                <w:color w:val="172033"/>
                <w:sz w:val="15"/>
              </w:rPr>
              <w:t>Capture a successful startup, alert generation, graph trace and three RAG question results from the owner’s running environment.</w:t>
            </w:r>
          </w:p>
        </w:tc>
      </w:tr>
    </w:tbl>
    <w:p>
      <w:pPr>
        <w:spacing w:after="0"/>
      </w:pPr>
    </w:p>
    <w:p>
      <w:pPr>
        <w:pStyle w:val="Heading1"/>
      </w:pPr>
      <w:r>
        <w:t>9. Requirement-to-evidence traceability</w:t>
      </w:r>
    </w:p>
    <w:tbl>
      <w:tblPr>
        <w:tblStyle w:val="TableGrid"/>
        <w:tblW w:type="auto" w:w="0"/>
        <w:jc w:val="center"/>
        <w:tblLayout w:type="fixed"/>
        <w:tblLook w:firstColumn="1" w:firstRow="1" w:lastColumn="0" w:lastRow="0" w:noHBand="0" w:noVBand="1" w:val="04A0"/>
      </w:tblPr>
      <w:tblGrid>
        <w:gridCol w:w="5040"/>
        <w:gridCol w:w="5040"/>
      </w:tblGrid>
      <w:tr>
        <w:tc>
          <w:tcPr>
            <w:tcW w:type="dxa" w:w="3816"/>
            <w:vAlign w:val="center"/>
            <w:shd w:fill="7655D9"/>
          </w:tcPr>
          <w:p>
            <w:pPr>
              <w:spacing w:after="20" w:before="20"/>
            </w:pPr>
            <w:r/>
            <w:r>
              <w:rPr>
                <w:rFonts w:ascii="Aptos" w:hAnsi="Aptos"/>
                <w:b/>
                <w:color w:val="FFFFFF"/>
                <w:sz w:val="15"/>
              </w:rPr>
              <w:t>Specification expectation</w:t>
            </w:r>
          </w:p>
        </w:tc>
        <w:tc>
          <w:tcPr>
            <w:tcW w:type="dxa" w:w="6408"/>
            <w:vAlign w:val="center"/>
            <w:shd w:fill="7655D9"/>
          </w:tcPr>
          <w:p>
            <w:pPr>
              <w:spacing w:after="20" w:before="20"/>
            </w:pPr>
            <w:r/>
            <w:r>
              <w:rPr>
                <w:rFonts w:ascii="Aptos" w:hAnsi="Aptos"/>
                <w:b/>
                <w:color w:val="FFFFFF"/>
                <w:sz w:val="15"/>
              </w:rPr>
              <w:t>Implementation evidence and report conclusion</w:t>
            </w:r>
          </w:p>
        </w:tc>
      </w:tr>
      <w:tr>
        <w:tc>
          <w:tcPr>
            <w:tcW w:type="dxa" w:w="3816"/>
            <w:vAlign w:val="center"/>
          </w:tcPr>
          <w:p>
            <w:pPr>
              <w:spacing w:after="20" w:before="20"/>
            </w:pPr>
            <w:r/>
            <w:r>
              <w:rPr>
                <w:rFonts w:ascii="Aptos" w:hAnsi="Aptos"/>
                <w:b w:val="0"/>
                <w:color w:val="172033"/>
                <w:sz w:val="15"/>
              </w:rPr>
              <w:t>Events from gateway, auth and at least two domain services; required event fields.</w:t>
            </w:r>
          </w:p>
        </w:tc>
        <w:tc>
          <w:tcPr>
            <w:tcW w:type="dxa" w:w="6408"/>
            <w:vAlign w:val="center"/>
          </w:tcPr>
          <w:p>
            <w:pPr>
              <w:spacing w:after="20" w:before="20"/>
            </w:pPr>
            <w:r/>
            <w:r>
              <w:rPr>
                <w:rFonts w:ascii="Aptos" w:hAnsi="Aptos"/>
                <w:b w:val="0"/>
                <w:color w:val="172033"/>
                <w:sz w:val="15"/>
              </w:rPr>
              <w:t>Gateway/auth/job/application SOC clients and SOC Event model. Source: api-gateway/.../SocEventClient.java; auth-service/.../AuthController.java; job-service/.../SocEventClient.java; application-service/.../SocEventClient.java; soc-service/.../model/Event.java. Implemented in code; runtime completeness not independently measured.</w:t>
            </w:r>
          </w:p>
        </w:tc>
      </w:tr>
      <w:tr>
        <w:tc>
          <w:tcPr>
            <w:tcW w:type="dxa" w:w="3816"/>
            <w:vAlign w:val="center"/>
            <w:shd w:fill="F5F7FA"/>
          </w:tcPr>
          <w:p>
            <w:pPr>
              <w:spacing w:after="20" w:before="20"/>
            </w:pPr>
            <w:r/>
            <w:r>
              <w:rPr>
                <w:rFonts w:ascii="Aptos" w:hAnsi="Aptos"/>
                <w:b w:val="0"/>
                <w:color w:val="172033"/>
                <w:sz w:val="15"/>
              </w:rPr>
              <w:t>Service/container health information.</w:t>
            </w:r>
          </w:p>
        </w:tc>
        <w:tc>
          <w:tcPr>
            <w:tcW w:type="dxa" w:w="6408"/>
            <w:vAlign w:val="center"/>
            <w:shd w:fill="F5F7FA"/>
          </w:tcPr>
          <w:p>
            <w:pPr>
              <w:spacing w:after="20" w:before="20"/>
            </w:pPr>
            <w:r/>
            <w:r>
              <w:rPr>
                <w:rFonts w:ascii="Aptos" w:hAnsi="Aptos"/>
                <w:b w:val="0"/>
                <w:color w:val="172033"/>
                <w:sz w:val="15"/>
              </w:rPr>
              <w:t>ServiceHealthMonitor probes four peer /health routes every 30s and persists transition events. Liveness only; SOC itself is excluded. No direct Docker container-state ingestion.</w:t>
            </w:r>
          </w:p>
        </w:tc>
      </w:tr>
      <w:tr>
        <w:tc>
          <w:tcPr>
            <w:tcW w:type="dxa" w:w="3816"/>
            <w:vAlign w:val="center"/>
          </w:tcPr>
          <w:p>
            <w:pPr>
              <w:spacing w:after="20" w:before="20"/>
            </w:pPr>
            <w:r/>
            <w:r>
              <w:rPr>
                <w:rFonts w:ascii="Aptos" w:hAnsi="Aptos"/>
                <w:b w:val="0"/>
                <w:color w:val="172033"/>
                <w:sz w:val="15"/>
              </w:rPr>
              <w:t>At least three named detection rules with purpose, input, logic, severity, alert and response.</w:t>
            </w:r>
          </w:p>
        </w:tc>
        <w:tc>
          <w:tcPr>
            <w:tcW w:type="dxa" w:w="6408"/>
            <w:vAlign w:val="center"/>
          </w:tcPr>
          <w:p>
            <w:pPr>
              <w:spacing w:after="20" w:before="20"/>
            </w:pPr>
            <w:r/>
            <w:r>
              <w:rPr>
                <w:rFonts w:ascii="Aptos" w:hAnsi="Aptos"/>
                <w:b w:val="0"/>
                <w:color w:val="172033"/>
                <w:sz w:val="15"/>
              </w:rPr>
              <w:t>Five rules in soc-service/.../detection/DetectionEngine.java and DETECTION_RULES.md. Meets count and documented rule fields; thresholds need validation/tuning.</w:t>
            </w:r>
          </w:p>
        </w:tc>
      </w:tr>
      <w:tr>
        <w:tc>
          <w:tcPr>
            <w:tcW w:type="dxa" w:w="3816"/>
            <w:vAlign w:val="center"/>
            <w:shd w:fill="F5F7FA"/>
          </w:tcPr>
          <w:p>
            <w:pPr>
              <w:spacing w:after="20" w:before="20"/>
            </w:pPr>
            <w:r/>
            <w:r>
              <w:rPr>
                <w:rFonts w:ascii="Aptos" w:hAnsi="Aptos"/>
                <w:b w:val="0"/>
                <w:color w:val="172033"/>
                <w:sz w:val="15"/>
              </w:rPr>
              <w:t>Required alert data and review.</w:t>
            </w:r>
          </w:p>
        </w:tc>
        <w:tc>
          <w:tcPr>
            <w:tcW w:type="dxa" w:w="6408"/>
            <w:vAlign w:val="center"/>
            <w:shd w:fill="F5F7FA"/>
          </w:tcPr>
          <w:p>
            <w:pPr>
              <w:spacing w:after="20" w:before="20"/>
            </w:pPr>
            <w:r/>
            <w:r>
              <w:rPr>
                <w:rFonts w:ascii="Aptos" w:hAnsi="Aptos"/>
                <w:b w:val="0"/>
                <w:color w:val="172033"/>
                <w:sz w:val="15"/>
              </w:rPr>
              <w:t>SOC Alert model/controller and frontend admin dashboard; graph sync links alerts. Verify exact field completeness in live UI before assessment submission.</w:t>
            </w:r>
          </w:p>
        </w:tc>
      </w:tr>
      <w:tr>
        <w:tc>
          <w:tcPr>
            <w:tcW w:type="dxa" w:w="3816"/>
            <w:vAlign w:val="center"/>
          </w:tcPr>
          <w:p>
            <w:pPr>
              <w:spacing w:after="20" w:before="20"/>
            </w:pPr>
            <w:r/>
            <w:r>
              <w:rPr>
                <w:rFonts w:ascii="Aptos" w:hAnsi="Aptos"/>
                <w:b w:val="0"/>
                <w:color w:val="172033"/>
                <w:sz w:val="15"/>
              </w:rPr>
              <w:t>Knowledge graph concepts and relationships; application, runtime and security sources.</w:t>
            </w:r>
          </w:p>
        </w:tc>
        <w:tc>
          <w:tcPr>
            <w:tcW w:type="dxa" w:w="6408"/>
            <w:vAlign w:val="center"/>
          </w:tcPr>
          <w:p>
            <w:pPr>
              <w:spacing w:after="20" w:before="20"/>
            </w:pPr>
            <w:r/>
            <w:r>
              <w:rPr>
                <w:rFonts w:ascii="Aptos" w:hAnsi="Aptos"/>
                <w:b w:val="0"/>
                <w:color w:val="172033"/>
                <w:sz w:val="15"/>
              </w:rPr>
              <w:t>GraphSeedData.java, GraphSeeder.java, GraphSyncService.java, GraphQueryService.java and KNOWLEDGE_GRAPH_MODEL.md. Core listed concepts/links are represented; some relationships depend on runtime data and seeded mappings.</w:t>
            </w:r>
          </w:p>
        </w:tc>
      </w:tr>
      <w:tr>
        <w:tc>
          <w:tcPr>
            <w:tcW w:type="dxa" w:w="3816"/>
            <w:vAlign w:val="center"/>
            <w:shd w:fill="F5F7FA"/>
          </w:tcPr>
          <w:p>
            <w:pPr>
              <w:spacing w:after="20" w:before="20"/>
            </w:pPr>
            <w:r/>
            <w:r>
              <w:rPr>
                <w:rFonts w:ascii="Aptos" w:hAnsi="Aptos"/>
                <w:b w:val="0"/>
                <w:color w:val="172033"/>
                <w:sz w:val="15"/>
              </w:rPr>
              <w:t>At least five graph queries.</w:t>
            </w:r>
          </w:p>
        </w:tc>
        <w:tc>
          <w:tcPr>
            <w:tcW w:type="dxa" w:w="6408"/>
            <w:vAlign w:val="center"/>
            <w:shd w:fill="F5F7FA"/>
          </w:tcPr>
          <w:p>
            <w:pPr>
              <w:spacing w:after="20" w:before="20"/>
            </w:pPr>
            <w:r/>
            <w:r>
              <w:rPr>
                <w:rFonts w:ascii="Aptos" w:hAnsi="Aptos"/>
                <w:b w:val="0"/>
                <w:color w:val="172033"/>
                <w:sz w:val="15"/>
              </w:rPr>
              <w:t>Six REST query patterns in GraphQueryController.java; see Section 5. Source presence confirmed.</w:t>
            </w:r>
          </w:p>
        </w:tc>
      </w:tr>
      <w:tr>
        <w:tc>
          <w:tcPr>
            <w:tcW w:type="dxa" w:w="3816"/>
            <w:vAlign w:val="center"/>
          </w:tcPr>
          <w:p>
            <w:pPr>
              <w:spacing w:after="20" w:before="20"/>
            </w:pPr>
            <w:r/>
            <w:r>
              <w:rPr>
                <w:rFonts w:ascii="Aptos" w:hAnsi="Aptos"/>
                <w:b w:val="0"/>
                <w:color w:val="172033"/>
                <w:sz w:val="15"/>
              </w:rPr>
              <w:t>Natural-language graph RAG with nodes, relationships, sources/procedures and retrieval explanation/confidence.</w:t>
            </w:r>
          </w:p>
        </w:tc>
        <w:tc>
          <w:tcPr>
            <w:tcW w:type="dxa" w:w="6408"/>
            <w:vAlign w:val="center"/>
          </w:tcPr>
          <w:p>
            <w:pPr>
              <w:spacing w:after="20" w:before="20"/>
            </w:pPr>
            <w:r/>
            <w:r>
              <w:rPr>
                <w:rFonts w:ascii="Aptos" w:hAnsi="Aptos"/>
                <w:b w:val="0"/>
                <w:color w:val="172033"/>
                <w:sz w:val="15"/>
              </w:rPr>
              <w:t>QuestionAnalyzer.java, RagService.java, AnswerTemplates.java, GraphQueryService.java, frontend/src/App.jsx. Evidence nodes/relationships and method are represented; no calibrated confidence score; supported question set is limited.</w:t>
            </w:r>
          </w:p>
        </w:tc>
      </w:tr>
      <w:tr>
        <w:tc>
          <w:tcPr>
            <w:tcW w:type="dxa" w:w="3816"/>
            <w:vAlign w:val="center"/>
            <w:shd w:fill="F5F7FA"/>
          </w:tcPr>
          <w:p>
            <w:pPr>
              <w:spacing w:after="20" w:before="20"/>
            </w:pPr>
            <w:r/>
            <w:r>
              <w:rPr>
                <w:rFonts w:ascii="Aptos" w:hAnsi="Aptos"/>
                <w:b w:val="0"/>
                <w:color w:val="172033"/>
                <w:sz w:val="15"/>
              </w:rPr>
              <w:t>Demonstrate source event → alert → graph links → RAG answer and at least three questions.</w:t>
            </w:r>
          </w:p>
        </w:tc>
        <w:tc>
          <w:tcPr>
            <w:tcW w:type="dxa" w:w="6408"/>
            <w:vAlign w:val="center"/>
            <w:shd w:fill="F5F7FA"/>
          </w:tcPr>
          <w:p>
            <w:pPr>
              <w:spacing w:after="20" w:before="20"/>
            </w:pPr>
            <w:r/>
            <w:r>
              <w:rPr>
                <w:rFonts w:ascii="Aptos" w:hAnsi="Aptos"/>
                <w:b w:val="0"/>
                <w:color w:val="172033"/>
                <w:sz w:val="15"/>
              </w:rPr>
              <w:t>RAG_DEMONSTRATION.md specifies three scenarios and a failed-login trace. This is a reproducible demonstration plan; no live screenshot/output was captured in this report.</w:t>
            </w:r>
          </w:p>
        </w:tc>
      </w:tr>
      <w:tr>
        <w:tc>
          <w:tcPr>
            <w:tcW w:type="dxa" w:w="3816"/>
            <w:vAlign w:val="center"/>
          </w:tcPr>
          <w:p>
            <w:pPr>
              <w:spacing w:after="20" w:before="20"/>
            </w:pPr>
            <w:r/>
            <w:r>
              <w:rPr>
                <w:rFonts w:ascii="Aptos" w:hAnsi="Aptos"/>
                <w:b w:val="0"/>
                <w:color w:val="172033"/>
                <w:sz w:val="15"/>
              </w:rPr>
              <w:t>Technical report explains architecture, choices, limitations and evidence.</w:t>
            </w:r>
          </w:p>
        </w:tc>
        <w:tc>
          <w:tcPr>
            <w:tcW w:type="dxa" w:w="6408"/>
            <w:vAlign w:val="center"/>
          </w:tcPr>
          <w:p>
            <w:pPr>
              <w:spacing w:after="20" w:before="20"/>
            </w:pPr>
            <w:r/>
            <w:r>
              <w:rPr>
                <w:rFonts w:ascii="Aptos" w:hAnsi="Aptos"/>
                <w:b w:val="0"/>
                <w:color w:val="172033"/>
                <w:sz w:val="15"/>
              </w:rPr>
              <w:t>This Word report, with source paths, requirement matrix, design rationale and limits.</w:t>
            </w:r>
          </w:p>
        </w:tc>
      </w:tr>
    </w:tbl>
    <w:p>
      <w:pPr>
        <w:spacing w:after="0"/>
      </w:pPr>
    </w:p>
    <w:p>
      <w:pPr>
        <w:pStyle w:val="Heading1"/>
      </w:pPr>
      <w:r>
        <w:t>10. Validation and reproducibility</w:t>
      </w:r>
    </w:p>
    <w:p>
      <w:r>
        <w:t>Prior repository review recorded a successful `docker compose config --quiet` check and `git diff --check`. The owner reports that the SOC container now starts in their environment. Attempts from the review environment to complete Maven compilation and the frontend production build did not complete successfully: Maven wrapper dependency resolution stalled, and Vite encountered a Windows EPERM realpath error. These are environment/tooling outcomes and do not by themselves establish a source defect; equally, they do not provide successful build evidence.</w:t>
      </w:r>
    </w:p>
    <w:p>
      <w:r>
        <w:t>For a complete acceptance demonstration, from the Compose project root: run `docker compose up -d --build`; confirm `soc-service` and dependencies are healthy; sign in through first-admin setup or an existing administrator; open Admin dashboard and Security insights; generate one controlled failed-login scenario; confirm the alert appears; ask the three questions in `RAG_DEMONSTRATION.md`; and capture each answer with its retrieval method, evidence nodes and relationships. Record the stack commit, timestamps, alert IDs and screenshots so the demonstrated evidence can be tied to this report.</w:t>
      </w:r>
    </w:p>
    <w:tbl>
      <w:tblPr>
        <w:tblStyle w:val="TableGrid"/>
        <w:tblW w:type="auto" w:w="0"/>
        <w:jc w:val="center"/>
        <w:tblLook w:firstColumn="1" w:firstRow="1" w:lastColumn="0" w:lastRow="0" w:noHBand="0" w:noVBand="1" w:val="04A0"/>
      </w:tblPr>
      <w:tblGrid>
        <w:gridCol w:w="10080"/>
      </w:tblGrid>
      <w:tr>
        <w:tc>
          <w:tcPr>
            <w:tcW w:type="dxa" w:w="10080"/>
            <w:shd w:fill="F1EDFC"/>
          </w:tcPr>
          <w:p>
            <w:pPr>
              <w:spacing w:after="80"/>
            </w:pPr>
            <w:r/>
            <w:r>
              <w:rPr>
                <w:b/>
                <w:color w:val="7655D9"/>
              </w:rPr>
              <w:t xml:space="preserve">Conclusion  </w:t>
            </w:r>
            <w:r>
              <w:t>The source implementation provides the principal Phase 2 building blocks and the project documentation maps them to the stated requirements. The clearest remaining work is operational verification: produce live evidence for the end-to-end event-to-RAG trace, validate database/service failure scenarios, and harden asynchronous delivery and deployment secrets before treating the system as operationally reliable.</w:t>
            </w:r>
          </w:p>
        </w:tc>
      </w:tr>
    </w:tbl>
    <w:p>
      <w:pPr>
        <w:spacing w:after="0"/>
      </w:pPr>
    </w:p>
    <w:p>
      <w:r>
        <w:br w:type="page"/>
      </w:r>
    </w:p>
    <w:p>
      <w:pPr>
        <w:jc w:val="center"/>
      </w:pPr>
      <w:r>
        <w:drawing>
          <wp:inline xmlns:a="http://schemas.openxmlformats.org/drawingml/2006/main" xmlns:pic="http://schemas.openxmlformats.org/drawingml/2006/picture">
            <wp:extent cx="6309360" cy="17526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9360" cy="1752600"/>
                    </a:xfrm>
                    <a:prstGeom prst="rect"/>
                  </pic:spPr>
                </pic:pic>
              </a:graphicData>
            </a:graphic>
          </wp:inline>
        </w:drawing>
      </w:r>
    </w:p>
    <w:p>
      <w:pPr>
        <w:pStyle w:val="Caption"/>
        <w:jc w:val="center"/>
      </w:pPr>
      <w:r>
        <w:t>Figure 2. Demonstration sequence and Phase 1 / Phase 2 boundary.</w:t>
      </w:r>
    </w:p>
    <w:p>
      <w:pPr>
        <w:pStyle w:val="Heading1"/>
      </w:pPr>
      <w:r>
        <w:t>11. Demonstrate one complete security workflow</w:t>
      </w:r>
    </w:p>
    <w:p>
      <w:r>
        <w:t>Use this walkthrough to show traceability from one microservice security event to an alert, through Neo4j relationships, and into the RAG answer. The example uses repeated failed logins against one email address. Phase 1 is complete at Step 3; Phase 2 begins with detection at Step 4. The SOC DetectionEngine creates and persists the alert; there is no separate standalone Alert Service.</w:t>
      </w:r>
    </w:p>
    <w:p>
      <w:pPr>
        <w:pStyle w:val="Heading2"/>
      </w:pPr>
      <w:r>
        <w:t>Before you begin</w:t>
      </w:r>
    </w:p>
    <w:p>
      <w:r>
        <w:t>Start the Compose stack and wait until SOC, Neo4j, PostgreSQL, gateway, auth, job and application services are healthy. Sign in as an administrator and open Admin dashboard → Security insights. Use an email address safe for a local demo and note the start time. The rule requires at least five failures for the same user within five minutes; detection runs every 15 seconds. Allow a short delay after the fifth attempt.</w:t>
      </w:r>
    </w:p>
    <w:p>
      <w:pPr>
        <w:pStyle w:val="Heading2"/>
      </w:pPr>
      <w:r>
        <w:t>1. Perform repeated failed logins</w:t>
      </w:r>
    </w:p>
    <w:p>
      <w:r>
        <w:t>Submit at least five unsuccessful login attempts for the same email within five minutes through the frontend login flow or auth login API. Keep the email constant; the password may be incorrect.</w:t>
      </w:r>
    </w:p>
    <w:p>
      <w:r>
        <w:rPr>
          <w:b/>
        </w:rPr>
        <w:t>Demonstration evidence:</w:t>
      </w:r>
      <w:r>
        <w:t xml:space="preserve"> Show the attempts or auth-service log entries and record the test email and time window.</w:t>
      </w:r>
    </w:p>
    <w:p>
      <w:pPr>
        <w:pStyle w:val="Heading2"/>
      </w:pPr>
      <w:r>
        <w:t>2. Auth Service records each failure</w:t>
      </w:r>
    </w:p>
    <w:p>
      <w:r>
        <w:t>Auth Service emits LOGIN_FAILED with submitted user identifier, auth-service name, login endpoint, timestamp, message and correlation ID where available.</w:t>
      </w:r>
    </w:p>
    <w:p>
      <w:r>
        <w:rPr>
          <w:b/>
        </w:rPr>
        <w:t>Demonstration evidence:</w:t>
      </w:r>
      <w:r>
        <w:t xml:space="preserve"> Show event records/logs. This is Phase 1 event generation.</w:t>
      </w:r>
    </w:p>
    <w:p>
      <w:pPr>
        <w:pStyle w:val="Heading2"/>
      </w:pPr>
      <w:r>
        <w:t>3. SOC collects and stores events — Phase 1 ends</w:t>
      </w:r>
    </w:p>
    <w:p>
      <w:r>
        <w:t>Auth Service submits events asynchronously to SOC. SOC persists accepted events in PostgreSQL and syncs event nodes into Neo4j.</w:t>
      </w:r>
    </w:p>
    <w:p>
      <w:r>
        <w:rPr>
          <w:b/>
        </w:rPr>
        <w:t>Demonstration evidence:</w:t>
      </w:r>
      <w:r>
        <w:t xml:space="preserve"> Show SOC event records or Neo4j Event nodes. Allow time for asynchronous ingestion.</w:t>
      </w:r>
    </w:p>
    <w:p>
      <w:pPr>
        <w:pStyle w:val="Heading2"/>
      </w:pPr>
      <w:r>
        <w:t>4. Detection rule identifies the pattern — Phase 2 starts</w:t>
      </w:r>
    </w:p>
    <w:p>
      <w:r>
        <w:t>DetectionEngine examines the last five minutes and groups LOGIN_FAILED events by userId. Five or more failures match MULTIPLE_FAILED_LOGINS.</w:t>
      </w:r>
    </w:p>
    <w:p>
      <w:r>
        <w:rPr>
          <w:b/>
        </w:rPr>
        <w:t>Demonstration evidence:</w:t>
      </w:r>
      <w:r>
        <w:t xml:space="preserve"> Show the rule definition or the resulting alert ruleName and description.</w:t>
      </w:r>
    </w:p>
    <w:p>
      <w:pPr>
        <w:pStyle w:val="Heading2"/>
      </w:pPr>
      <w:r>
        <w:t>5. SOC creates a HIGH alert</w:t>
      </w:r>
    </w:p>
    <w:p>
      <w:r>
        <w:t>DetectionEngine writes an OPEN, HIGH alert with rule name, related event IDs, affected user, auth-service, /api/v1/auth/login and recommended response. A ten-minute cooldown limits duplicates per user/rule.</w:t>
      </w:r>
    </w:p>
    <w:p>
      <w:r>
        <w:rPr>
          <w:b/>
        </w:rPr>
        <w:t>Demonstration evidence:</w:t>
      </w:r>
      <w:r>
        <w:t xml:space="preserve"> Show the alert row. Alert Service is a conceptual responsibility, not a separate container in this implementation.</w:t>
      </w:r>
    </w:p>
    <w:p>
      <w:pPr>
        <w:pStyle w:val="Heading2"/>
      </w:pPr>
      <w:r>
        <w:t>6. Alert and evidence are synchronized to Neo4j</w:t>
      </w:r>
    </w:p>
    <w:p>
      <w:r>
        <w:t>GraphSyncService creates/merges the Alert, connects each related Event to it, maps the rule to Credential Attack, and groups the alert into an Incident.</w:t>
      </w:r>
    </w:p>
    <w:p>
      <w:r>
        <w:rPr>
          <w:b/>
        </w:rPr>
        <w:t>Demonstration evidence:</w:t>
      </w:r>
      <w:r>
        <w:t xml:space="preserve"> Show Event, Alert and Incident nodes and relationships in Neo4j Browser or the RAG evidence panel.</w:t>
      </w:r>
    </w:p>
    <w:p>
      <w:pPr>
        <w:pStyle w:val="Heading2"/>
      </w:pPr>
      <w:r>
        <w:t>7. Inspect user, service, endpoint and threat links</w:t>
      </w:r>
    </w:p>
    <w:p>
      <w:r>
        <w:t>Expected paths: User-[:TRIGGERED]-&gt;Event; Event-[:GENERATED_BY]-&gt;Service; Event-[:TARGETED]-&gt;Endpoint; Event-[:CREATED_ALERT]-&gt;Alert; Alert-[:AFFECTS]-&gt;Service; Alert-[:AFFECTS_USER]-&gt;User; Alert-[:AFFECTS_ENDPOINT]-&gt;Endpoint; Alert-[:INDICATES]-&gt;Threat. Role is present only when known.</w:t>
      </w:r>
    </w:p>
    <w:p>
      <w:r>
        <w:rPr>
          <w:b/>
        </w:rPr>
        <w:t>Demonstration evidence:</w:t>
      </w:r>
      <w:r>
        <w:t xml:space="preserve"> Show the affected user, auth-service, login endpoint and Credential Attack threat in retrieved evidence.</w:t>
      </w:r>
    </w:p>
    <w:p>
      <w:pPr>
        <w:pStyle w:val="Heading2"/>
      </w:pPr>
      <w:r>
        <w:t>8. Follow the threat to controls and procedures</w:t>
      </w:r>
    </w:p>
    <w:p>
      <w:r>
        <w:t>The seeded graph connects Control-[:MITIGATES]-&gt;Threat and Document-[:SUPPORTS_RESPONSE_TO]-&gt;Threat; a Document may also DESCRIBE a Control.</w:t>
      </w:r>
    </w:p>
    <w:p>
      <w:r>
        <w:rPr>
          <w:b/>
        </w:rPr>
        <w:t>Demonstration evidence:</w:t>
      </w:r>
      <w:r>
        <w:t xml:space="preserve"> Show control and procedure evidence. These are response references, not automated remediation.</w:t>
      </w:r>
    </w:p>
    <w:p>
      <w:pPr>
        <w:pStyle w:val="Heading2"/>
      </w:pPr>
      <w:r>
        <w:t>9. Ask the RAG interface</w:t>
      </w:r>
    </w:p>
    <w:p>
      <w:r>
        <w:t>In Security insights, ask: “Why was the latest alert created and what should be done?” This matches the alert-explanation intent.</w:t>
      </w:r>
    </w:p>
    <w:p>
      <w:r>
        <w:rPr>
          <w:b/>
        </w:rPr>
        <w:t>Demonstration evidence:</w:t>
      </w:r>
      <w:r>
        <w:t xml:space="preserve"> Show the question and retrieval method. If older alerts exist, use a clean demo dataset or include a known alert ID in a supported question.</w:t>
      </w:r>
    </w:p>
    <w:p>
      <w:pPr>
        <w:pStyle w:val="Heading2"/>
      </w:pPr>
      <w:r>
        <w:t>10. Explain the answer and evidence</w:t>
      </w:r>
    </w:p>
    <w:p>
      <w:r>
        <w:t>RAG retrieves graph evidence and formats a template answer describing the rule, severity, threat, available controls/procedure and recommended response. The UI displays nodes and relationships.</w:t>
      </w:r>
    </w:p>
    <w:p>
      <w:r>
        <w:rPr>
          <w:b/>
        </w:rPr>
        <w:t>Demonstration evidence:</w:t>
      </w:r>
      <w:r>
        <w:t xml:space="preserve"> Show the answer and evidence panel. Trace failed-login Events → Alert → Threat → Control/response Document; capture question, alert ID and answer.</w:t>
      </w:r>
    </w:p>
    <w:p>
      <w:pPr>
        <w:pStyle w:val="Heading2"/>
      </w:pPr>
      <w:r>
        <w:t>Optional Neo4j Browser inspection query</w:t>
      </w:r>
    </w:p>
    <w:p>
      <w:r>
        <w:t>Replace the email with the exact userId recorded in the failed-login events. This follows the event-to-alert path and optional service, endpoint, threat and control context. Missing optional matches indicate absent data or a missing graph relationship; do not infer it.</w:t>
      </w:r>
    </w:p>
    <w:p>
      <w:pPr>
        <w:spacing w:before="80" w:after="160"/>
        <w:ind w:left="259" w:right="259"/>
      </w:pPr>
      <w:r>
        <w:rPr>
          <w:rFonts w:ascii="Consolas" w:hAnsi="Consolas"/>
          <w:color w:val="172033"/>
          <w:sz w:val="16"/>
        </w:rPr>
        <w:t>:param email =&gt; 'demo@example.com'</w:t>
        <w:br/>
        <w:t>MATCH (u:User {id: $email})-[:TRIGGERED]-&gt;(e:Event)</w:t>
        <w:br/>
        <w:t>WHERE e.eventType = 'LOGIN_FAILED'</w:t>
        <w:br/>
        <w:t>OPTIONAL MATCH (e)-[:GENERATED_BY]-&gt;(s:Service)</w:t>
        <w:br/>
        <w:t>OPTIONAL MATCH (e)-[:TARGETED]-&gt;(ep:Endpoint)</w:t>
        <w:br/>
        <w:t>OPTIONAL MATCH (e)-[:CREATED_ALERT]-&gt;(a:Alert)</w:t>
        <w:br/>
        <w:t>OPTIONAL MATCH (a)-[:INDICATES]-&gt;(t:Threat)</w:t>
        <w:br/>
        <w:t>OPTIONAL MATCH (c:Control)-[:MITIGATES]-&gt;(t)</w:t>
        <w:br/>
        <w:t>OPTIONAL MATCH (d:Document)-[:SUPPORTS_RESPONSE_TO]-&gt;(t)</w:t>
        <w:br/>
        <w:t>RETURN u.id AS user, e.eventId AS eventId, e.timestamp AS time,</w:t>
        <w:br/>
        <w:t xml:space="preserve">       s.name AS service, ep.path AS endpoint, a.alertId AS alertId,</w:t>
        <w:br/>
        <w:t xml:space="preserve">       a.ruleName AS rule, a.severity AS severity, t.name AS threat,</w:t>
        <w:br/>
        <w:t xml:space="preserve">       collect(DISTINCT c.name) AS controls,</w:t>
        <w:br/>
        <w:t xml:space="preserve">       collect(DISTINCT d.name) AS procedures</w:t>
        <w:br/>
        <w:t>ORDER BY time DESC LIMIT 25</w:t>
      </w:r>
    </w:p>
    <w:p>
      <w:pPr>
        <w:pStyle w:val="Heading2"/>
      </w:pPr>
      <w:r>
        <w:t>What to capture for assessment</w:t>
      </w:r>
    </w:p>
    <w:p>
      <w:r>
        <w:t>Capture (1) repeated failed-login actions or auth event evidence, (2) the HIGH alert with rule name and affected user, (3) a Neo4j or UI evidence view showing Event → Alert → Threat → Control/Procedure relationships, and (4) the RAG question and answer with retrieval evidence. Include timestamps and the alert ID to correlate them. Do not present seeded CWE or threat references as confirmed vulnerability findings.</w:t>
      </w:r>
    </w:p>
    <w:p>
      <w:pPr>
        <w:pStyle w:val="Heading1"/>
      </w:pPr>
      <w:r>
        <w:t>References and evidence files</w:t>
      </w:r>
    </w:p>
    <w:p>
      <w:r>
        <w:t>Primary requirement source: “ITRI623 Phase 2 Specification Sept 2026”, 11-page PDF supplied for this project. Requirement interpretations in this report follow that document.</w:t>
      </w:r>
    </w:p>
    <w:p>
      <w:r>
        <w:t>Repository evidence (paths relative to the project root):</w:t>
      </w:r>
    </w:p>
    <w:p>
      <w:pPr>
        <w:pStyle w:val="ListBullet"/>
        <w:spacing w:after="40"/>
      </w:pPr>
      <w:r>
        <w:t>PHASE2_REPORT.md — architecture outline and requirement coverage notes.</w:t>
      </w:r>
    </w:p>
    <w:p>
      <w:pPr>
        <w:pStyle w:val="ListBullet"/>
        <w:spacing w:after="40"/>
      </w:pPr>
      <w:r>
        <w:t>KNOWLEDGE_GRAPH_MODEL.md — node labels, relationships and data provenance.</w:t>
      </w:r>
    </w:p>
    <w:p>
      <w:pPr>
        <w:pStyle w:val="ListBullet"/>
        <w:spacing w:after="40"/>
      </w:pPr>
      <w:r>
        <w:t>DETECTION_RULES.md — five rule definitions and thresholds.</w:t>
      </w:r>
    </w:p>
    <w:p>
      <w:pPr>
        <w:pStyle w:val="ListBullet"/>
        <w:spacing w:after="40"/>
      </w:pPr>
      <w:r>
        <w:t>RAG_DEMONSTRATION.md — three question scenarios and expected evidence.</w:t>
      </w:r>
    </w:p>
    <w:p>
      <w:pPr>
        <w:pStyle w:val="ListBullet"/>
        <w:spacing w:after="40"/>
      </w:pPr>
      <w:r>
        <w:t>docker-compose.yml — local microservice/database deployment topology and health checks.</w:t>
      </w:r>
    </w:p>
    <w:p>
      <w:pPr>
        <w:pStyle w:val="ListBullet"/>
        <w:spacing w:after="40"/>
      </w:pPr>
      <w:r>
        <w:t>soc-service/src/main/java/com/recruitplatform/soc_service/detection/DetectionEngine.java — implemented rule conditions and alert actions.</w:t>
      </w:r>
    </w:p>
    <w:p>
      <w:pPr>
        <w:pStyle w:val="ListBullet"/>
        <w:spacing w:after="40"/>
      </w:pPr>
      <w:r>
        <w:t>soc-service/src/main/java/com/recruitplatform/soc_service/monitoring/ServiceHealthMonitor.java — health probe schedule and state transition events.</w:t>
      </w:r>
    </w:p>
    <w:p>
      <w:pPr>
        <w:pStyle w:val="ListBullet"/>
        <w:spacing w:after="40"/>
      </w:pPr>
      <w:r>
        <w:t>soc-service/src/main/java/com/recruitplatform/soc_service/graph/GraphSeeder.java, GraphSyncService.java, GraphQueryService.java — graph seed, synchronization and retrieval.</w:t>
      </w:r>
    </w:p>
    <w:p>
      <w:pPr>
        <w:pStyle w:val="ListBullet"/>
        <w:spacing w:after="40"/>
      </w:pPr>
      <w:r>
        <w:t>soc-service/src/main/java/com/recruitplatform/soc_service/rag/QuestionAnalyzer.java, RagService.java, AnswerTemplates.java — intent classification and response generation.</w:t>
      </w:r>
    </w:p>
    <w:p>
      <w:pPr>
        <w:pStyle w:val="ListBullet"/>
        <w:spacing w:after="40"/>
      </w:pPr>
      <w:r>
        <w:t>api-gateway/src/main/java/com/recruitplatform/api_gateway/gateway/filter/JwtAuthFilter.java and soc-service/.../security — admin authorization path.</w:t>
      </w:r>
    </w:p>
    <w:p>
      <w:pPr>
        <w:pStyle w:val="ListBullet"/>
        <w:spacing w:after="40"/>
      </w:pPr>
      <w:r>
        <w:t>frontend/src/App.jsx — admin dashboard, Security insights UI and evidence presentation.</w:t>
      </w:r>
    </w:p>
    <w:p>
      <w:r>
        <w:t>Security reference sources represented in the seeded data include MITRE ATT&amp;CK technique pages (for example T1110, T1078 and T1499) and MITRE CWE weakness entries. They are contextual references, not application scan findings.</w:t>
      </w:r>
    </w:p>
    <w:p>
      <w:r>
        <w:br w:type="page"/>
      </w:r>
    </w:p>
    <w:p>
      <w:pPr>
        <w:pStyle w:val="Heading1"/>
      </w:pPr>
      <w:r>
        <w:t>Phase 2 Evidence Requirements and Demonstration Record</w:t>
      </w:r>
    </w:p>
    <w:p>
      <w:r>
        <w:rPr>
          <w:b/>
        </w:rPr>
        <w:t xml:space="preserve">Purpose. </w:t>
      </w:r>
      <w:r>
        <w:t>This section aligns the report directly with the supplied Phase 2 Evidence Report checklist. Repository evidence confirms implementation paths; live screenshots and runtime acceptance results are not included in the supplied materials and are marked pending for capture from the running deployment.</w:t>
      </w:r>
    </w:p>
    <w:p>
      <w:pPr>
        <w:pStyle w:val="Heading2"/>
      </w:pPr>
      <w:r>
        <w:t>1 to 3. Project overview, architecture and event collection</w:t>
      </w:r>
    </w:p>
    <w:p>
      <w:r>
        <w:t>The main report’s Executive Summary, Sections 2 and 3, and Figures 1 and 2 cover the requested platform overview, updated component architecture, SOC collection path and Phase 1/Phase 2 workflow boundary. The architecture includes the API Gateway, Eureka, Auth, Job and Application services, their databases, SOC PostgreSQL, detection logic, Neo4j, the administrator RAG interface and dashboard. Collected signals include authentication outcomes, gateway activity and errors, domain-service events, and health-state transitions from monitored services.</w:t>
      </w:r>
    </w:p>
    <w:p>
      <w:r>
        <w:t>Evidence status: the report contains logical architecture and graph diagrams. No screenshot of a live deployment or event collector was supplied, so runtime evidence remains pending.</w:t>
      </w:r>
    </w:p>
    <w:p>
      <w:pPr>
        <w:pStyle w:val="Heading2"/>
      </w:pPr>
      <w:r>
        <w:t>4. Detection rules and alerts</w:t>
      </w:r>
    </w:p>
    <w:p>
      <w:r>
        <w:t>The implementation defines five scheduled rules. The table below makes explicit the rule input, threshold, severity and generated alert requested by the evidence checklist. Rule definitions and response text are in DETECTION_RULES.md and DetectionEngine.java.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253858"/>
            <w:vAlign w:val="center"/>
            <w:tcMar>
              <w:top w:w="100" w:type="dxa"/>
              <w:start w:w="110" w:type="dxa"/>
              <w:bottom w:w="100" w:type="dxa"/>
              <w:end w:w="110" w:type="dxa"/>
            </w:tcMar>
          </w:tcPr>
          <w:p>
            <w:r>
              <w:rPr>
                <w:b/>
                <w:color w:val="FFFFFF"/>
                <w:sz w:val="16"/>
              </w:rPr>
              <w:t>Rule name</w:t>
            </w:r>
          </w:p>
        </w:tc>
        <w:tc>
          <w:tcPr>
            <w:tcW w:type="dxa" w:w="3672"/>
            <w:shd w:fill="253858"/>
            <w:vAlign w:val="center"/>
            <w:tcMar>
              <w:top w:w="100" w:type="dxa"/>
              <w:start w:w="110" w:type="dxa"/>
              <w:bottom w:w="100" w:type="dxa"/>
              <w:end w:w="110" w:type="dxa"/>
            </w:tcMar>
          </w:tcPr>
          <w:p>
            <w:r>
              <w:rPr>
                <w:b/>
                <w:color w:val="FFFFFF"/>
                <w:sz w:val="16"/>
              </w:rPr>
              <w:t>Detection logic</w:t>
            </w:r>
          </w:p>
        </w:tc>
        <w:tc>
          <w:tcPr>
            <w:tcW w:type="dxa" w:w="1080"/>
            <w:shd w:fill="253858"/>
            <w:vAlign w:val="center"/>
            <w:tcMar>
              <w:top w:w="100" w:type="dxa"/>
              <w:start w:w="110" w:type="dxa"/>
              <w:bottom w:w="100" w:type="dxa"/>
              <w:end w:w="110" w:type="dxa"/>
            </w:tcMar>
          </w:tcPr>
          <w:p>
            <w:r>
              <w:rPr>
                <w:b/>
                <w:color w:val="FFFFFF"/>
                <w:sz w:val="16"/>
              </w:rPr>
              <w:t>Severity</w:t>
            </w:r>
          </w:p>
        </w:tc>
        <w:tc>
          <w:tcPr>
            <w:tcW w:type="dxa" w:w="3312"/>
            <w:shd w:fill="253858"/>
            <w:vAlign w:val="center"/>
            <w:tcMar>
              <w:top w:w="100" w:type="dxa"/>
              <w:start w:w="110" w:type="dxa"/>
              <w:bottom w:w="100" w:type="dxa"/>
              <w:end w:w="110" w:type="dxa"/>
            </w:tcMar>
          </w:tcPr>
          <w:p>
            <w:r>
              <w:rPr>
                <w:b/>
                <w:color w:val="FFFFFF"/>
                <w:sz w:val="16"/>
              </w:rPr>
              <w:t>Alert created</w:t>
            </w:r>
          </w:p>
        </w:tc>
      </w:tr>
      <w:tr>
        <w:tc>
          <w:tcPr>
            <w:tcW w:type="dxa" w:w="2088"/>
            <w:vAlign w:val="center"/>
            <w:tcMar>
              <w:top w:w="100" w:type="dxa"/>
              <w:start w:w="110" w:type="dxa"/>
              <w:bottom w:w="100" w:type="dxa"/>
              <w:end w:w="110" w:type="dxa"/>
            </w:tcMar>
          </w:tcPr>
          <w:p>
            <w:pPr>
              <w:spacing w:after="40"/>
            </w:pPr>
            <w:r>
              <w:rPr>
                <w:sz w:val="16"/>
              </w:rPr>
              <w:t>MULTIPLE_FAILED_LOGINS</w:t>
            </w:r>
          </w:p>
        </w:tc>
        <w:tc>
          <w:tcPr>
            <w:tcW w:type="dxa" w:w="3672"/>
            <w:vAlign w:val="center"/>
            <w:tcMar>
              <w:top w:w="100" w:type="dxa"/>
              <w:start w:w="110" w:type="dxa"/>
              <w:bottom w:w="100" w:type="dxa"/>
              <w:end w:w="110" w:type="dxa"/>
            </w:tcMar>
          </w:tcPr>
          <w:p>
            <w:pPr>
              <w:spacing w:after="40"/>
            </w:pPr>
            <w:r>
              <w:rPr>
                <w:sz w:val="16"/>
              </w:rPr>
              <w:t>At least 5 LOGIN_FAILED events for one user in 5 minutes.</w:t>
            </w:r>
          </w:p>
        </w:tc>
        <w:tc>
          <w:tcPr>
            <w:tcW w:type="dxa" w:w="1080"/>
            <w:vAlign w:val="center"/>
            <w:tcMar>
              <w:top w:w="100" w:type="dxa"/>
              <w:start w:w="110" w:type="dxa"/>
              <w:bottom w:w="100" w:type="dxa"/>
              <w:end w:w="110" w:type="dxa"/>
            </w:tcMar>
          </w:tcPr>
          <w:p>
            <w:pPr>
              <w:spacing w:after="40"/>
            </w:pPr>
            <w:r>
              <w:rPr>
                <w:sz w:val="16"/>
              </w:rPr>
              <w:t>HIGH</w:t>
            </w:r>
          </w:p>
        </w:tc>
        <w:tc>
          <w:tcPr>
            <w:tcW w:type="dxa" w:w="3312"/>
            <w:vAlign w:val="center"/>
            <w:tcMar>
              <w:top w:w="100" w:type="dxa"/>
              <w:start w:w="110" w:type="dxa"/>
              <w:bottom w:w="100" w:type="dxa"/>
              <w:end w:w="110" w:type="dxa"/>
            </w:tcMar>
          </w:tcPr>
          <w:p>
            <w:pPr>
              <w:spacing w:after="40"/>
            </w:pPr>
            <w:r>
              <w:rPr>
                <w:sz w:val="16"/>
              </w:rPr>
              <w:t>Credential attack alert; recommended action advises temporary account lock and MFA.</w:t>
            </w:r>
          </w:p>
        </w:tc>
      </w:tr>
      <w:tr>
        <w:tc>
          <w:tcPr>
            <w:tcW w:type="dxa" w:w="2088"/>
            <w:vAlign w:val="center"/>
            <w:shd w:fill="F2F6FA"/>
            <w:tcMar>
              <w:top w:w="100" w:type="dxa"/>
              <w:start w:w="110" w:type="dxa"/>
              <w:bottom w:w="100" w:type="dxa"/>
              <w:end w:w="110" w:type="dxa"/>
            </w:tcMar>
          </w:tcPr>
          <w:p>
            <w:pPr>
              <w:spacing w:after="40"/>
            </w:pPr>
            <w:r>
              <w:rPr>
                <w:sz w:val="16"/>
              </w:rPr>
              <w:t>REPEATED_UNAUTHORISED_ACCESS</w:t>
            </w:r>
          </w:p>
        </w:tc>
        <w:tc>
          <w:tcPr>
            <w:tcW w:type="dxa" w:w="3672"/>
            <w:vAlign w:val="center"/>
            <w:shd w:fill="F2F6FA"/>
            <w:tcMar>
              <w:top w:w="100" w:type="dxa"/>
              <w:start w:w="110" w:type="dxa"/>
              <w:bottom w:w="100" w:type="dxa"/>
              <w:end w:w="110" w:type="dxa"/>
            </w:tcMar>
          </w:tcPr>
          <w:p>
            <w:pPr>
              <w:spacing w:after="40"/>
            </w:pPr>
            <w:r>
              <w:rPr>
                <w:sz w:val="16"/>
              </w:rPr>
              <w:t>At least 8 unauthorized responses for one endpoint in 5 minutes; escalates when 3 or more source IPs are observed.</w:t>
            </w:r>
          </w:p>
        </w:tc>
        <w:tc>
          <w:tcPr>
            <w:tcW w:type="dxa" w:w="1080"/>
            <w:vAlign w:val="center"/>
            <w:shd w:fill="F2F6FA"/>
            <w:tcMar>
              <w:top w:w="100" w:type="dxa"/>
              <w:start w:w="110" w:type="dxa"/>
              <w:bottom w:w="100" w:type="dxa"/>
              <w:end w:w="110" w:type="dxa"/>
            </w:tcMar>
          </w:tcPr>
          <w:p>
            <w:pPr>
              <w:spacing w:after="40"/>
            </w:pPr>
            <w:r>
              <w:rPr>
                <w:sz w:val="16"/>
              </w:rPr>
              <w:t>MEDIUM / HIGH</w:t>
            </w:r>
          </w:p>
        </w:tc>
        <w:tc>
          <w:tcPr>
            <w:tcW w:type="dxa" w:w="3312"/>
            <w:vAlign w:val="center"/>
            <w:shd w:fill="F2F6FA"/>
            <w:tcMar>
              <w:top w:w="100" w:type="dxa"/>
              <w:start w:w="110" w:type="dxa"/>
              <w:bottom w:w="100" w:type="dxa"/>
              <w:end w:w="110" w:type="dxa"/>
            </w:tcMar>
          </w:tcPr>
          <w:p>
            <w:pPr>
              <w:spacing w:after="40"/>
            </w:pPr>
            <w:r>
              <w:rPr>
                <w:sz w:val="16"/>
              </w:rPr>
              <w:t>Access violation alert; investigate origin and rate-limit or block as appropriate.</w:t>
            </w:r>
          </w:p>
        </w:tc>
      </w:tr>
      <w:tr>
        <w:tc>
          <w:tcPr>
            <w:tcW w:type="dxa" w:w="2088"/>
            <w:vAlign w:val="center"/>
            <w:tcMar>
              <w:top w:w="100" w:type="dxa"/>
              <w:start w:w="110" w:type="dxa"/>
              <w:bottom w:w="100" w:type="dxa"/>
              <w:end w:w="110" w:type="dxa"/>
            </w:tcMar>
          </w:tcPr>
          <w:p>
            <w:pPr>
              <w:spacing w:after="40"/>
            </w:pPr>
            <w:r>
              <w:rPr>
                <w:sz w:val="16"/>
              </w:rPr>
              <w:t>SUSPICIOUS_REQUEST_VOLUME</w:t>
            </w:r>
          </w:p>
        </w:tc>
        <w:tc>
          <w:tcPr>
            <w:tcW w:type="dxa" w:w="3672"/>
            <w:vAlign w:val="center"/>
            <w:tcMar>
              <w:top w:w="100" w:type="dxa"/>
              <w:start w:w="110" w:type="dxa"/>
              <w:bottom w:w="100" w:type="dxa"/>
              <w:end w:w="110" w:type="dxa"/>
            </w:tcMar>
          </w:tcPr>
          <w:p>
            <w:pPr>
              <w:spacing w:after="40"/>
            </w:pPr>
            <w:r>
              <w:rPr>
                <w:sz w:val="16"/>
              </w:rPr>
              <w:t>At least 100 requests from one IP in one minute.</w:t>
            </w:r>
          </w:p>
        </w:tc>
        <w:tc>
          <w:tcPr>
            <w:tcW w:type="dxa" w:w="1080"/>
            <w:vAlign w:val="center"/>
            <w:tcMar>
              <w:top w:w="100" w:type="dxa"/>
              <w:start w:w="110" w:type="dxa"/>
              <w:bottom w:w="100" w:type="dxa"/>
              <w:end w:w="110" w:type="dxa"/>
            </w:tcMar>
          </w:tcPr>
          <w:p>
            <w:pPr>
              <w:spacing w:after="40"/>
            </w:pPr>
            <w:r>
              <w:rPr>
                <w:sz w:val="16"/>
              </w:rPr>
              <w:t>HIGH</w:t>
            </w:r>
          </w:p>
        </w:tc>
        <w:tc>
          <w:tcPr>
            <w:tcW w:type="dxa" w:w="3312"/>
            <w:vAlign w:val="center"/>
            <w:tcMar>
              <w:top w:w="100" w:type="dxa"/>
              <w:start w:w="110" w:type="dxa"/>
              <w:bottom w:w="100" w:type="dxa"/>
              <w:end w:w="110" w:type="dxa"/>
            </w:tcMar>
          </w:tcPr>
          <w:p>
            <w:pPr>
              <w:spacing w:after="40"/>
            </w:pPr>
            <w:r>
              <w:rPr>
                <w:sz w:val="16"/>
              </w:rPr>
              <w:t>High-volume request alert; investigate and rate-limit the source.</w:t>
            </w:r>
          </w:p>
        </w:tc>
      </w:tr>
      <w:tr>
        <w:tc>
          <w:tcPr>
            <w:tcW w:type="dxa" w:w="2088"/>
            <w:vAlign w:val="center"/>
            <w:shd w:fill="F2F6FA"/>
            <w:tcMar>
              <w:top w:w="100" w:type="dxa"/>
              <w:start w:w="110" w:type="dxa"/>
              <w:bottom w:w="100" w:type="dxa"/>
              <w:end w:w="110" w:type="dxa"/>
            </w:tcMar>
          </w:tcPr>
          <w:p>
            <w:pPr>
              <w:spacing w:after="40"/>
            </w:pPr>
            <w:r>
              <w:rPr>
                <w:sz w:val="16"/>
              </w:rPr>
              <w:t>SERVICE_ERROR_SPIKE</w:t>
            </w:r>
          </w:p>
        </w:tc>
        <w:tc>
          <w:tcPr>
            <w:tcW w:type="dxa" w:w="3672"/>
            <w:vAlign w:val="center"/>
            <w:shd w:fill="F2F6FA"/>
            <w:tcMar>
              <w:top w:w="100" w:type="dxa"/>
              <w:start w:w="110" w:type="dxa"/>
              <w:bottom w:w="100" w:type="dxa"/>
              <w:end w:w="110" w:type="dxa"/>
            </w:tcMar>
          </w:tcPr>
          <w:p>
            <w:pPr>
              <w:spacing w:after="40"/>
            </w:pPr>
            <w:r>
              <w:rPr>
                <w:sz w:val="16"/>
              </w:rPr>
              <w:t>At least 5 server-error events for one service in 5 minutes.</w:t>
            </w:r>
          </w:p>
        </w:tc>
        <w:tc>
          <w:tcPr>
            <w:tcW w:type="dxa" w:w="1080"/>
            <w:vAlign w:val="center"/>
            <w:shd w:fill="F2F6FA"/>
            <w:tcMar>
              <w:top w:w="100" w:type="dxa"/>
              <w:start w:w="110" w:type="dxa"/>
              <w:bottom w:w="100" w:type="dxa"/>
              <w:end w:w="110" w:type="dxa"/>
            </w:tcMar>
          </w:tcPr>
          <w:p>
            <w:pPr>
              <w:spacing w:after="40"/>
            </w:pPr>
            <w:r>
              <w:rPr>
                <w:sz w:val="16"/>
              </w:rPr>
              <w:t>HIGH</w:t>
            </w:r>
          </w:p>
        </w:tc>
        <w:tc>
          <w:tcPr>
            <w:tcW w:type="dxa" w:w="3312"/>
            <w:vAlign w:val="center"/>
            <w:shd w:fill="F2F6FA"/>
            <w:tcMar>
              <w:top w:w="100" w:type="dxa"/>
              <w:start w:w="110" w:type="dxa"/>
              <w:bottom w:w="100" w:type="dxa"/>
              <w:end w:w="110" w:type="dxa"/>
            </w:tcMar>
          </w:tcPr>
          <w:p>
            <w:pPr>
              <w:spacing w:after="40"/>
            </w:pPr>
            <w:r>
              <w:rPr>
                <w:sz w:val="16"/>
              </w:rPr>
              <w:t>Service failure alert; investigate service logs and dependencies.</w:t>
            </w:r>
          </w:p>
        </w:tc>
      </w:tr>
      <w:tr>
        <w:tc>
          <w:tcPr>
            <w:tcW w:type="dxa" w:w="2088"/>
            <w:vAlign w:val="center"/>
            <w:tcMar>
              <w:top w:w="100" w:type="dxa"/>
              <w:start w:w="110" w:type="dxa"/>
              <w:bottom w:w="100" w:type="dxa"/>
              <w:end w:w="110" w:type="dxa"/>
            </w:tcMar>
          </w:tcPr>
          <w:p>
            <w:pPr>
              <w:spacing w:after="40"/>
            </w:pPr>
            <w:r>
              <w:rPr>
                <w:sz w:val="16"/>
              </w:rPr>
              <w:t>SERVICE_HEALTH_FAILURE</w:t>
            </w:r>
          </w:p>
        </w:tc>
        <w:tc>
          <w:tcPr>
            <w:tcW w:type="dxa" w:w="3672"/>
            <w:vAlign w:val="center"/>
            <w:tcMar>
              <w:top w:w="100" w:type="dxa"/>
              <w:start w:w="110" w:type="dxa"/>
              <w:bottom w:w="100" w:type="dxa"/>
              <w:end w:w="110" w:type="dxa"/>
            </w:tcMar>
          </w:tcPr>
          <w:p>
            <w:pPr>
              <w:spacing w:after="40"/>
            </w:pPr>
            <w:r>
              <w:rPr>
                <w:sz w:val="16"/>
              </w:rPr>
              <w:t>A monitored service transitions to failed health.</w:t>
            </w:r>
          </w:p>
        </w:tc>
        <w:tc>
          <w:tcPr>
            <w:tcW w:type="dxa" w:w="1080"/>
            <w:vAlign w:val="center"/>
            <w:tcMar>
              <w:top w:w="100" w:type="dxa"/>
              <w:start w:w="110" w:type="dxa"/>
              <w:bottom w:w="100" w:type="dxa"/>
              <w:end w:w="110" w:type="dxa"/>
            </w:tcMar>
          </w:tcPr>
          <w:p>
            <w:pPr>
              <w:spacing w:after="40"/>
            </w:pPr>
            <w:r>
              <w:rPr>
                <w:sz w:val="16"/>
              </w:rPr>
              <w:t>HIGH</w:t>
            </w:r>
          </w:p>
        </w:tc>
        <w:tc>
          <w:tcPr>
            <w:tcW w:type="dxa" w:w="3312"/>
            <w:vAlign w:val="center"/>
            <w:tcMar>
              <w:top w:w="100" w:type="dxa"/>
              <w:start w:w="110" w:type="dxa"/>
              <w:bottom w:w="100" w:type="dxa"/>
              <w:end w:w="110" w:type="dxa"/>
            </w:tcMar>
          </w:tcPr>
          <w:p>
            <w:pPr>
              <w:spacing w:after="40"/>
            </w:pPr>
            <w:r>
              <w:rPr>
                <w:sz w:val="16"/>
              </w:rPr>
              <w:t>Service health alert; inspect liveness and dependent services.</w:t>
            </w:r>
          </w:p>
        </w:tc>
      </w:tr>
    </w:tbl>
    <w:p>
      <w:pPr>
        <w:spacing w:after="80"/>
      </w:pPr>
    </w:p>
    <w:p>
      <w:r>
        <w:t>Runtime evidence required: capture the generated-alert list or detail view showing alert ID, rule name, severity, timestamp, affected entity and recommended action. No generated-alert screenshot was included with the source materials.</w:t>
      </w:r>
    </w:p>
    <w:p>
      <w:pPr>
        <w:pStyle w:val="Heading2"/>
      </w:pPr>
      <w:r>
        <w:t>5. Knowledge graph model</w:t>
      </w:r>
    </w:p>
    <w:p>
      <w:r>
        <w:t>Figure 1 in the main report shows the graph design. The graph model includes User, Service, Endpoint, Asset, Event, Alert, Incident, Threat, Control, Vulnerability, Role and Document nodes. Principal traceability relationships include User-TRIGGERED-Event, Event-GENERATED_BY-Service, Event-TARGETED-Endpoint, Event-CREATED_ALERT-Alert, Alert-AFFECTS-Service, Alert-AFFECTS_USER-User, Alert-INDICATES-Threat, Control-MITIGATES-Threat and Document-SUPPORTS_RESPONSE_TO-Threat. Runtime events/alerts and seeded application/security reference data have distinct provenance. CWE entries are reference weaknesses, not confirmed application findings.</w:t>
      </w:r>
    </w:p>
    <w:p>
      <w:r>
        <w:t>Required live evidence: Neo4j graph visualization; node labels and relationship types; and one alert connected to a user, service, threat and control. The included figure is a design diagram, not a capture of a live Neo4j Browser session. Capture the runtime view before claiming graph integration has passed.</w:t>
      </w:r>
    </w:p>
    <w:p>
      <w:pPr>
        <w:pStyle w:val="Heading2"/>
      </w:pPr>
      <w:r>
        <w:t>6. Cypher queries demonstrated</w:t>
      </w:r>
    </w:p>
    <w:p>
      <w:r>
        <w:t>These examples correspond to implemented query patterns in GraphQueryService.java. Run them in Neo4j Browser with values from the live dataset. The queries are demonstration instructions; no result set is claimed in this report.</w:t>
      </w:r>
    </w:p>
    <w:p>
      <w:pPr>
        <w:pStyle w:val="Heading3"/>
      </w:pPr>
      <w:r>
        <w:t>Query 1 - High-severity alerts linked to users</w:t>
      </w:r>
    </w:p>
    <w:p>
      <w:pPr>
        <w:spacing w:after="140"/>
        <w:ind w:left="259"/>
        <w:shd w:fill="F2F4F7"/>
      </w:pPr>
      <w:r>
        <w:rPr>
          <w:rFonts w:ascii="Consolas" w:hAnsi="Consolas"/>
          <w:sz w:val="16"/>
        </w:rPr>
        <w:t>MATCH (a:Alert)-[:AFFECTS_USER]-&gt;(u:User)</w:t>
        <w:br/>
        <w:t>WHERE a.severity IN ['HIGH', 'CRITICAL']</w:t>
        <w:br/>
        <w:t>RETURN u.id AS userId, a.alertId AS alertId, a.ruleName AS rule,</w:t>
        <w:br/>
        <w:t xml:space="preserve">       a.severity AS severity, a.status AS status</w:t>
        <w:br/>
        <w:t>ORDER BY a.createdAt DESC;</w:t>
      </w:r>
    </w:p>
    <w:p>
      <w:pPr>
        <w:pStyle w:val="Heading3"/>
      </w:pPr>
      <w:r>
        <w:t>Query 2 - Alert to threat, controls and response procedure</w:t>
      </w:r>
    </w:p>
    <w:p>
      <w:pPr>
        <w:spacing w:after="140"/>
        <w:ind w:left="259"/>
        <w:shd w:fill="F2F4F7"/>
      </w:pPr>
      <w:r>
        <w:rPr>
          <w:rFonts w:ascii="Consolas" w:hAnsi="Consolas"/>
          <w:sz w:val="16"/>
        </w:rPr>
        <w:t>MATCH (a:Alert {alertId: $alertId})-[:INDICATES]-&gt;(t:Threat)</w:t>
        <w:br/>
        <w:t>OPTIONAL MATCH (c:Control)-[:MITIGATES]-&gt;(t)</w:t>
        <w:br/>
        <w:t>OPTIONAL MATCH (d:Document)-[:SUPPORTS_RESPONSE_TO]-&gt;(t)</w:t>
        <w:br/>
        <w:t>RETURN a.alertId AS alertId, a.severity AS severity, t.name AS threat,</w:t>
        <w:br/>
        <w:t xml:space="preserve">       collect(DISTINCT c.name) AS controls,</w:t>
        <w:br/>
        <w:t xml:space="preserve">       collect(DISTINCT d.name) AS procedures;</w:t>
      </w:r>
    </w:p>
    <w:p>
      <w:pPr>
        <w:pStyle w:val="Heading3"/>
      </w:pPr>
      <w:r>
        <w:t>Query 3 - Services dependent on an affected service</w:t>
      </w:r>
    </w:p>
    <w:p>
      <w:pPr>
        <w:spacing w:after="140"/>
        <w:ind w:left="259"/>
        <w:shd w:fill="F2F4F7"/>
      </w:pPr>
      <w:r>
        <w:rPr>
          <w:rFonts w:ascii="Consolas" w:hAnsi="Consolas"/>
          <w:sz w:val="16"/>
        </w:rPr>
        <w:t>MATCH path=(s:Service {name: $service})&lt;-[:DEPENDS_ON*1..]-(dependent:Service)</w:t>
        <w:br/>
        <w:t>RETURN DISTINCT dependent.name AS dependentService,</w:t>
        <w:br/>
        <w:t xml:space="preserve">       [node IN nodes(path) | node.name] AS dependencyPath;</w:t>
      </w:r>
    </w:p>
    <w:p>
      <w:pPr>
        <w:pStyle w:val="Heading3"/>
      </w:pPr>
      <w:r>
        <w:t>Query 4 - Full failed-login trace (optional extended demonstration)</w:t>
      </w:r>
    </w:p>
    <w:p>
      <w:pPr>
        <w:spacing w:after="140"/>
        <w:ind w:left="259"/>
        <w:shd w:fill="F2F4F7"/>
      </w:pPr>
      <w:r>
        <w:rPr>
          <w:rFonts w:ascii="Consolas" w:hAnsi="Consolas"/>
          <w:sz w:val="16"/>
        </w:rPr>
        <w:t>MATCH (u:User {id: $userId})-[:TRIGGERED]-&gt;(e:Event {eventType: 'LOGIN_FAILED'})</w:t>
        <w:br/>
        <w:t>OPTIONAL MATCH (e)-[:GENERATED_BY]-&gt;(s:Service)</w:t>
        <w:br/>
        <w:t>OPTIONAL MATCH (e)-[:TARGETED]-&gt;(ep:Endpoint)</w:t>
        <w:br/>
        <w:t>OPTIONAL MATCH (e)-[:CREATED_ALERT]-&gt;(a:Alert)</w:t>
        <w:br/>
        <w:t>OPTIONAL MATCH (a)-[:INDICATES]-&gt;(t:Threat)</w:t>
        <w:br/>
        <w:t>OPTIONAL MATCH (c:Control)-[:MITIGATES]-&gt;(t)</w:t>
        <w:br/>
        <w:t>RETURN u.id AS user, e.eventId AS eventId, s.name AS service, ep.path AS endpoint,</w:t>
        <w:br/>
        <w:t xml:space="preserve">       a.alertId AS alertId, a.ruleName AS rule, a.severity AS severity,</w:t>
        <w:br/>
        <w:t xml:space="preserve">       t.name AS threat, collect(DISTINCT c.name) AS controls</w:t>
        <w:br/>
        <w:t>ORDER BY e.timestamp DESC LIMIT 25;</w:t>
      </w:r>
    </w:p>
    <w:p>
      <w:r>
        <w:t>Capture one Neo4j Browser result screenshot for each required query. For Query 2, supply the actual alertId parameter; for Queries 3 and 4, supply a real service name and userId. Preserve the query text and result panel in each screenshot.</w:t>
      </w:r>
    </w:p>
    <w:p>
      <w:pPr>
        <w:pStyle w:val="Heading2"/>
      </w:pPr>
      <w:r>
        <w:t>7. RAG interface and example questions</w:t>
      </w:r>
    </w:p>
    <w:p>
      <w:r>
        <w:t>The Security insights page uses QuestionAnalyzer to map supported questions to a known intent, RagService to call a parameterized/predefined graph query, and AnswerTemplates to format the retrieved records. It is template-based GraphRAG; it does not use vector search or an LLM. The frontend response includes a retrieval-method description and graph evidence. The answer examples below describe questions and evidence to demonstrate, not captured live answers.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168"/>
            <w:shd w:fill="253858"/>
            <w:vAlign w:val="center"/>
            <w:tcMar>
              <w:top w:w="100" w:type="dxa"/>
              <w:start w:w="110" w:type="dxa"/>
              <w:bottom w:w="100" w:type="dxa"/>
              <w:end w:w="110" w:type="dxa"/>
            </w:tcMar>
          </w:tcPr>
          <w:p>
            <w:r>
              <w:rPr>
                <w:b/>
                <w:color w:val="FFFFFF"/>
                <w:sz w:val="16"/>
              </w:rPr>
              <w:t>Example question</w:t>
            </w:r>
          </w:p>
        </w:tc>
        <w:tc>
          <w:tcPr>
            <w:tcW w:type="dxa" w:w="3888"/>
            <w:shd w:fill="253858"/>
            <w:vAlign w:val="center"/>
            <w:tcMar>
              <w:top w:w="100" w:type="dxa"/>
              <w:start w:w="110" w:type="dxa"/>
              <w:bottom w:w="100" w:type="dxa"/>
              <w:end w:w="110" w:type="dxa"/>
            </w:tcMar>
          </w:tcPr>
          <w:p>
            <w:r>
              <w:rPr>
                <w:b/>
                <w:color w:val="FFFFFF"/>
                <w:sz w:val="16"/>
              </w:rPr>
              <w:t>Graph evidence to show</w:t>
            </w:r>
          </w:p>
        </w:tc>
        <w:tc>
          <w:tcPr>
            <w:tcW w:type="dxa" w:w="3096"/>
            <w:shd w:fill="253858"/>
            <w:vAlign w:val="center"/>
            <w:tcMar>
              <w:top w:w="100" w:type="dxa"/>
              <w:start w:w="110" w:type="dxa"/>
              <w:bottom w:w="100" w:type="dxa"/>
              <w:end w:w="110" w:type="dxa"/>
            </w:tcMar>
          </w:tcPr>
          <w:p>
            <w:r>
              <w:rPr>
                <w:b/>
                <w:color w:val="FFFFFF"/>
                <w:sz w:val="16"/>
              </w:rPr>
              <w:t>Answer should explain</w:t>
            </w:r>
          </w:p>
        </w:tc>
      </w:tr>
      <w:tr>
        <w:tc>
          <w:tcPr>
            <w:tcW w:type="dxa" w:w="3168"/>
            <w:vAlign w:val="center"/>
            <w:tcMar>
              <w:top w:w="100" w:type="dxa"/>
              <w:start w:w="110" w:type="dxa"/>
              <w:bottom w:w="100" w:type="dxa"/>
              <w:end w:w="110" w:type="dxa"/>
            </w:tcMar>
          </w:tcPr>
          <w:p>
            <w:pPr>
              <w:spacing w:after="40"/>
            </w:pPr>
            <w:r>
              <w:rPr>
                <w:sz w:val="16"/>
              </w:rPr>
              <w:t>Why was the latest alert created and what should be done?</w:t>
            </w:r>
          </w:p>
        </w:tc>
        <w:tc>
          <w:tcPr>
            <w:tcW w:type="dxa" w:w="3888"/>
            <w:vAlign w:val="center"/>
            <w:tcMar>
              <w:top w:w="100" w:type="dxa"/>
              <w:start w:w="110" w:type="dxa"/>
              <w:bottom w:w="100" w:type="dxa"/>
              <w:end w:w="110" w:type="dxa"/>
            </w:tcMar>
          </w:tcPr>
          <w:p>
            <w:pPr>
              <w:spacing w:after="40"/>
            </w:pPr>
            <w:r>
              <w:rPr>
                <w:sz w:val="16"/>
              </w:rPr>
              <w:t>Alert properties; linked Events and User; affected Service/Endpoint; indicated Threat; mitigating Controls and response Document where seeded.</w:t>
            </w:r>
          </w:p>
        </w:tc>
        <w:tc>
          <w:tcPr>
            <w:tcW w:type="dxa" w:w="3096"/>
            <w:vAlign w:val="center"/>
            <w:tcMar>
              <w:top w:w="100" w:type="dxa"/>
              <w:start w:w="110" w:type="dxa"/>
              <w:bottom w:w="100" w:type="dxa"/>
              <w:end w:w="110" w:type="dxa"/>
            </w:tcMar>
          </w:tcPr>
          <w:p>
            <w:pPr>
              <w:spacing w:after="40"/>
            </w:pPr>
            <w:r>
              <w:rPr>
                <w:sz w:val="16"/>
              </w:rPr>
              <w:t>Which rule fired and why, severity, affected account/service, and the available recommended response.</w:t>
            </w:r>
          </w:p>
        </w:tc>
      </w:tr>
      <w:tr>
        <w:tc>
          <w:tcPr>
            <w:tcW w:type="dxa" w:w="3168"/>
            <w:vAlign w:val="center"/>
            <w:shd w:fill="F2F6FA"/>
            <w:tcMar>
              <w:top w:w="100" w:type="dxa"/>
              <w:start w:w="110" w:type="dxa"/>
              <w:bottom w:w="100" w:type="dxa"/>
              <w:end w:w="110" w:type="dxa"/>
            </w:tcMar>
          </w:tcPr>
          <w:p>
            <w:pPr>
              <w:spacing w:after="40"/>
            </w:pPr>
            <w:r>
              <w:rPr>
                <w:sz w:val="16"/>
              </w:rPr>
              <w:t>What controls mitigate the latest alert?</w:t>
            </w:r>
          </w:p>
        </w:tc>
        <w:tc>
          <w:tcPr>
            <w:tcW w:type="dxa" w:w="3888"/>
            <w:vAlign w:val="center"/>
            <w:shd w:fill="F2F6FA"/>
            <w:tcMar>
              <w:top w:w="100" w:type="dxa"/>
              <w:start w:w="110" w:type="dxa"/>
              <w:bottom w:w="100" w:type="dxa"/>
              <w:end w:w="110" w:type="dxa"/>
            </w:tcMar>
          </w:tcPr>
          <w:p>
            <w:pPr>
              <w:spacing w:after="40"/>
            </w:pPr>
            <w:r>
              <w:rPr>
                <w:sz w:val="16"/>
              </w:rPr>
              <w:t>Alert-INDICATES-Threat; Control-MITIGATES-Threat; Document-SUPPORTS_RESPONSE_TO-Threat.</w:t>
            </w:r>
          </w:p>
        </w:tc>
        <w:tc>
          <w:tcPr>
            <w:tcW w:type="dxa" w:w="3096"/>
            <w:vAlign w:val="center"/>
            <w:shd w:fill="F2F6FA"/>
            <w:tcMar>
              <w:top w:w="100" w:type="dxa"/>
              <w:start w:w="110" w:type="dxa"/>
              <w:bottom w:w="100" w:type="dxa"/>
              <w:end w:w="110" w:type="dxa"/>
            </w:tcMar>
          </w:tcPr>
          <w:p>
            <w:pPr>
              <w:spacing w:after="40"/>
            </w:pPr>
            <w:r>
              <w:rPr>
                <w:sz w:val="16"/>
              </w:rPr>
              <w:t>Controls and procedure names retrieved from Neo4j; identify missing mappings rather than inventing controls.</w:t>
            </w:r>
          </w:p>
        </w:tc>
      </w:tr>
      <w:tr>
        <w:tc>
          <w:tcPr>
            <w:tcW w:type="dxa" w:w="3168"/>
            <w:vAlign w:val="center"/>
            <w:tcMar>
              <w:top w:w="100" w:type="dxa"/>
              <w:start w:w="110" w:type="dxa"/>
              <w:bottom w:w="100" w:type="dxa"/>
              <w:end w:w="110" w:type="dxa"/>
            </w:tcMar>
          </w:tcPr>
          <w:p>
            <w:pPr>
              <w:spacing w:after="40"/>
            </w:pPr>
            <w:r>
              <w:rPr>
                <w:sz w:val="16"/>
              </w:rPr>
              <w:t>What is the dependency impact if application-service fails?</w:t>
            </w:r>
          </w:p>
        </w:tc>
        <w:tc>
          <w:tcPr>
            <w:tcW w:type="dxa" w:w="3888"/>
            <w:vAlign w:val="center"/>
            <w:tcMar>
              <w:top w:w="100" w:type="dxa"/>
              <w:start w:w="110" w:type="dxa"/>
              <w:bottom w:w="100" w:type="dxa"/>
              <w:end w:w="110" w:type="dxa"/>
            </w:tcMar>
          </w:tcPr>
          <w:p>
            <w:pPr>
              <w:spacing w:after="40"/>
            </w:pPr>
            <w:r>
              <w:rPr>
                <w:sz w:val="16"/>
              </w:rPr>
              <w:t>Service dependency path traversing incoming DEPENDS_ON relationships.</w:t>
            </w:r>
          </w:p>
        </w:tc>
        <w:tc>
          <w:tcPr>
            <w:tcW w:type="dxa" w:w="3096"/>
            <w:vAlign w:val="center"/>
            <w:tcMar>
              <w:top w:w="100" w:type="dxa"/>
              <w:start w:w="110" w:type="dxa"/>
              <w:bottom w:w="100" w:type="dxa"/>
              <w:end w:w="110" w:type="dxa"/>
            </w:tcMar>
          </w:tcPr>
          <w:p>
            <w:pPr>
              <w:spacing w:after="40"/>
            </w:pPr>
            <w:r>
              <w:rPr>
                <w:sz w:val="16"/>
              </w:rPr>
              <w:t>Dependent services returned by the graph query; state when the graph contains no dependency path.</w:t>
            </w:r>
          </w:p>
        </w:tc>
      </w:tr>
    </w:tbl>
    <w:p>
      <w:pPr>
        <w:spacing w:after="80"/>
      </w:pPr>
    </w:p>
    <w:p>
      <w:r>
        <w:t>Required live evidence: (1) screenshot of the Security insights interface; (2) a question-and-answer screenshot for each of the three questions; and (3) retrieved nodes and relationships visible or exported as text for each response. Include retrieval method, timestamp and alert ID where relevant. The live Q&amp;A screenshots and evidence payloads were not supplied and remain pending.</w:t>
      </w:r>
    </w:p>
    <w:p>
      <w:pPr>
        <w:pStyle w:val="Heading2"/>
      </w:pPr>
      <w:r>
        <w:t>8. Evaluation summary</w:t>
      </w:r>
    </w:p>
    <w:p>
      <w:r>
        <w:t>This evaluation table separates expected behavior from evidence actually available in the reviewed repository. “Pending” means the test was not independently run and cannot be marked Pass or Fail from source inspection alone.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253858"/>
            <w:vAlign w:val="center"/>
            <w:tcMar>
              <w:top w:w="100" w:type="dxa"/>
              <w:start w:w="110" w:type="dxa"/>
              <w:bottom w:w="100" w:type="dxa"/>
              <w:end w:w="110" w:type="dxa"/>
            </w:tcMar>
          </w:tcPr>
          <w:p>
            <w:r>
              <w:rPr>
                <w:b/>
                <w:color w:val="FFFFFF"/>
                <w:sz w:val="16"/>
              </w:rPr>
              <w:t>Test</w:t>
            </w:r>
          </w:p>
        </w:tc>
        <w:tc>
          <w:tcPr>
            <w:tcW w:type="dxa" w:w="2880"/>
            <w:shd w:fill="253858"/>
            <w:vAlign w:val="center"/>
            <w:tcMar>
              <w:top w:w="100" w:type="dxa"/>
              <w:start w:w="110" w:type="dxa"/>
              <w:bottom w:w="100" w:type="dxa"/>
              <w:end w:w="110" w:type="dxa"/>
            </w:tcMar>
          </w:tcPr>
          <w:p>
            <w:r>
              <w:rPr>
                <w:b/>
                <w:color w:val="FFFFFF"/>
                <w:sz w:val="16"/>
              </w:rPr>
              <w:t>Expected result</w:t>
            </w:r>
          </w:p>
        </w:tc>
        <w:tc>
          <w:tcPr>
            <w:tcW w:type="dxa" w:w="4032"/>
            <w:shd w:fill="253858"/>
            <w:vAlign w:val="center"/>
            <w:tcMar>
              <w:top w:w="100" w:type="dxa"/>
              <w:start w:w="110" w:type="dxa"/>
              <w:bottom w:w="100" w:type="dxa"/>
              <w:end w:w="110" w:type="dxa"/>
            </w:tcMar>
          </w:tcPr>
          <w:p>
            <w:r>
              <w:rPr>
                <w:b/>
                <w:color w:val="FFFFFF"/>
                <w:sz w:val="16"/>
              </w:rPr>
              <w:t>Actual result in this review</w:t>
            </w:r>
          </w:p>
        </w:tc>
        <w:tc>
          <w:tcPr>
            <w:tcW w:type="dxa" w:w="1152"/>
            <w:shd w:fill="253858"/>
            <w:vAlign w:val="center"/>
            <w:tcMar>
              <w:top w:w="100" w:type="dxa"/>
              <w:start w:w="110" w:type="dxa"/>
              <w:bottom w:w="100" w:type="dxa"/>
              <w:end w:w="110" w:type="dxa"/>
            </w:tcMar>
          </w:tcPr>
          <w:p>
            <w:r>
              <w:rPr>
                <w:b/>
                <w:color w:val="FFFFFF"/>
                <w:sz w:val="16"/>
              </w:rPr>
              <w:t>Pass / Fail</w:t>
            </w:r>
          </w:p>
        </w:tc>
      </w:tr>
      <w:tr>
        <w:tc>
          <w:tcPr>
            <w:tcW w:type="dxa" w:w="2088"/>
            <w:vAlign w:val="center"/>
            <w:tcMar>
              <w:top w:w="100" w:type="dxa"/>
              <w:start w:w="110" w:type="dxa"/>
              <w:bottom w:w="100" w:type="dxa"/>
              <w:end w:w="110" w:type="dxa"/>
            </w:tcMar>
          </w:tcPr>
          <w:p>
            <w:pPr>
              <w:spacing w:after="40"/>
            </w:pPr>
            <w:r>
              <w:rPr>
                <w:sz w:val="16"/>
              </w:rPr>
              <w:t>Failed login rule</w:t>
            </w:r>
          </w:p>
        </w:tc>
        <w:tc>
          <w:tcPr>
            <w:tcW w:type="dxa" w:w="2880"/>
            <w:vAlign w:val="center"/>
            <w:tcMar>
              <w:top w:w="100" w:type="dxa"/>
              <w:start w:w="110" w:type="dxa"/>
              <w:bottom w:w="100" w:type="dxa"/>
              <w:end w:w="110" w:type="dxa"/>
            </w:tcMar>
          </w:tcPr>
          <w:p>
            <w:pPr>
              <w:spacing w:after="40"/>
            </w:pPr>
            <w:r>
              <w:rPr>
                <w:sz w:val="16"/>
              </w:rPr>
              <w:t>5 failures for one user in 5 minutes create a HIGH alert.</w:t>
            </w:r>
          </w:p>
        </w:tc>
        <w:tc>
          <w:tcPr>
            <w:tcW w:type="dxa" w:w="4032"/>
            <w:vAlign w:val="center"/>
            <w:tcMar>
              <w:top w:w="100" w:type="dxa"/>
              <w:start w:w="110" w:type="dxa"/>
              <w:bottom w:w="100" w:type="dxa"/>
              <w:end w:w="110" w:type="dxa"/>
            </w:tcMar>
          </w:tcPr>
          <w:p>
            <w:pPr>
              <w:spacing w:after="40"/>
            </w:pPr>
            <w:r>
              <w:rPr>
                <w:sz w:val="16"/>
              </w:rPr>
              <w:t>Rule condition is present in source; no live trigger result or screenshot supplied.</w:t>
            </w:r>
          </w:p>
        </w:tc>
        <w:tc>
          <w:tcPr>
            <w:tcW w:type="dxa" w:w="1152"/>
            <w:vAlign w:val="center"/>
            <w:tcMar>
              <w:top w:w="100" w:type="dxa"/>
              <w:start w:w="110" w:type="dxa"/>
              <w:bottom w:w="100" w:type="dxa"/>
              <w:end w:w="110" w:type="dxa"/>
            </w:tcMar>
          </w:tcPr>
          <w:p>
            <w:pPr>
              <w:spacing w:after="40"/>
            </w:pPr>
            <w:r>
              <w:rPr>
                <w:sz w:val="16"/>
              </w:rPr>
              <w:t>Pending</w:t>
            </w:r>
          </w:p>
        </w:tc>
      </w:tr>
      <w:tr>
        <w:tc>
          <w:tcPr>
            <w:tcW w:type="dxa" w:w="2088"/>
            <w:vAlign w:val="center"/>
            <w:shd w:fill="F2F6FA"/>
            <w:tcMar>
              <w:top w:w="100" w:type="dxa"/>
              <w:start w:w="110" w:type="dxa"/>
              <w:bottom w:w="100" w:type="dxa"/>
              <w:end w:w="110" w:type="dxa"/>
            </w:tcMar>
          </w:tcPr>
          <w:p>
            <w:pPr>
              <w:spacing w:after="40"/>
            </w:pPr>
            <w:r>
              <w:rPr>
                <w:sz w:val="16"/>
              </w:rPr>
              <w:t>Alert inserted into graph</w:t>
            </w:r>
          </w:p>
        </w:tc>
        <w:tc>
          <w:tcPr>
            <w:tcW w:type="dxa" w:w="2880"/>
            <w:vAlign w:val="center"/>
            <w:shd w:fill="F2F6FA"/>
            <w:tcMar>
              <w:top w:w="100" w:type="dxa"/>
              <w:start w:w="110" w:type="dxa"/>
              <w:bottom w:w="100" w:type="dxa"/>
              <w:end w:w="110" w:type="dxa"/>
            </w:tcMar>
          </w:tcPr>
          <w:p>
            <w:pPr>
              <w:spacing w:after="40"/>
            </w:pPr>
            <w:r>
              <w:rPr>
                <w:sz w:val="16"/>
              </w:rPr>
              <w:t>Alert is linked to event/user/service and mapped threat/control where data is seeded.</w:t>
            </w:r>
          </w:p>
        </w:tc>
        <w:tc>
          <w:tcPr>
            <w:tcW w:type="dxa" w:w="4032"/>
            <w:vAlign w:val="center"/>
            <w:shd w:fill="F2F6FA"/>
            <w:tcMar>
              <w:top w:w="100" w:type="dxa"/>
              <w:start w:w="110" w:type="dxa"/>
              <w:bottom w:w="100" w:type="dxa"/>
              <w:end w:w="110" w:type="dxa"/>
            </w:tcMar>
          </w:tcPr>
          <w:p>
            <w:pPr>
              <w:spacing w:after="40"/>
            </w:pPr>
            <w:r>
              <w:rPr>
                <w:sz w:val="16"/>
              </w:rPr>
              <w:t>Graph synchronization/query paths are present in source; live graph screenshot not supplied.</w:t>
            </w:r>
          </w:p>
        </w:tc>
        <w:tc>
          <w:tcPr>
            <w:tcW w:type="dxa" w:w="1152"/>
            <w:vAlign w:val="center"/>
            <w:shd w:fill="F2F6FA"/>
            <w:tcMar>
              <w:top w:w="100" w:type="dxa"/>
              <w:start w:w="110" w:type="dxa"/>
              <w:bottom w:w="100" w:type="dxa"/>
              <w:end w:w="110" w:type="dxa"/>
            </w:tcMar>
          </w:tcPr>
          <w:p>
            <w:pPr>
              <w:spacing w:after="40"/>
            </w:pPr>
            <w:r>
              <w:rPr>
                <w:sz w:val="16"/>
              </w:rPr>
              <w:t>Pending</w:t>
            </w:r>
          </w:p>
        </w:tc>
      </w:tr>
      <w:tr>
        <w:tc>
          <w:tcPr>
            <w:tcW w:type="dxa" w:w="2088"/>
            <w:vAlign w:val="center"/>
            <w:tcMar>
              <w:top w:w="100" w:type="dxa"/>
              <w:start w:w="110" w:type="dxa"/>
              <w:bottom w:w="100" w:type="dxa"/>
              <w:end w:w="110" w:type="dxa"/>
            </w:tcMar>
          </w:tcPr>
          <w:p>
            <w:pPr>
              <w:spacing w:after="40"/>
            </w:pPr>
            <w:r>
              <w:rPr>
                <w:sz w:val="16"/>
              </w:rPr>
              <w:t>RAG explains alert</w:t>
            </w:r>
          </w:p>
        </w:tc>
        <w:tc>
          <w:tcPr>
            <w:tcW w:type="dxa" w:w="2880"/>
            <w:vAlign w:val="center"/>
            <w:tcMar>
              <w:top w:w="100" w:type="dxa"/>
              <w:start w:w="110" w:type="dxa"/>
              <w:bottom w:w="100" w:type="dxa"/>
              <w:end w:w="110" w:type="dxa"/>
            </w:tcMar>
          </w:tcPr>
          <w:p>
            <w:pPr>
              <w:spacing w:after="40"/>
            </w:pPr>
            <w:r>
              <w:rPr>
                <w:sz w:val="16"/>
              </w:rPr>
              <w:t>Answer uses retrieved alert and graph evidence.</w:t>
            </w:r>
          </w:p>
        </w:tc>
        <w:tc>
          <w:tcPr>
            <w:tcW w:type="dxa" w:w="4032"/>
            <w:vAlign w:val="center"/>
            <w:tcMar>
              <w:top w:w="100" w:type="dxa"/>
              <w:start w:w="110" w:type="dxa"/>
              <w:bottom w:w="100" w:type="dxa"/>
              <w:end w:w="110" w:type="dxa"/>
            </w:tcMar>
          </w:tcPr>
          <w:p>
            <w:pPr>
              <w:spacing w:after="40"/>
            </w:pPr>
            <w:r>
              <w:rPr>
                <w:sz w:val="16"/>
              </w:rPr>
              <w:t>Template-based retrieval paths and UI evidence presentation are present; no live Q&amp;A capture supplied.</w:t>
            </w:r>
          </w:p>
        </w:tc>
        <w:tc>
          <w:tcPr>
            <w:tcW w:type="dxa" w:w="1152"/>
            <w:vAlign w:val="center"/>
            <w:tcMar>
              <w:top w:w="100" w:type="dxa"/>
              <w:start w:w="110" w:type="dxa"/>
              <w:bottom w:w="100" w:type="dxa"/>
              <w:end w:w="110" w:type="dxa"/>
            </w:tcMar>
          </w:tcPr>
          <w:p>
            <w:pPr>
              <w:spacing w:after="40"/>
            </w:pPr>
            <w:r>
              <w:rPr>
                <w:sz w:val="16"/>
              </w:rPr>
              <w:t>Pending</w:t>
            </w:r>
          </w:p>
        </w:tc>
      </w:tr>
      <w:tr>
        <w:tc>
          <w:tcPr>
            <w:tcW w:type="dxa" w:w="2088"/>
            <w:vAlign w:val="center"/>
            <w:shd w:fill="F2F6FA"/>
            <w:tcMar>
              <w:top w:w="100" w:type="dxa"/>
              <w:start w:w="110" w:type="dxa"/>
              <w:bottom w:w="100" w:type="dxa"/>
              <w:end w:w="110" w:type="dxa"/>
            </w:tcMar>
          </w:tcPr>
          <w:p>
            <w:pPr>
              <w:spacing w:after="40"/>
            </w:pPr>
            <w:r>
              <w:rPr>
                <w:sz w:val="16"/>
              </w:rPr>
              <w:t>Service failure rule</w:t>
            </w:r>
          </w:p>
        </w:tc>
        <w:tc>
          <w:tcPr>
            <w:tcW w:type="dxa" w:w="2880"/>
            <w:vAlign w:val="center"/>
            <w:shd w:fill="F2F6FA"/>
            <w:tcMar>
              <w:top w:w="100" w:type="dxa"/>
              <w:start w:w="110" w:type="dxa"/>
              <w:bottom w:w="100" w:type="dxa"/>
              <w:end w:w="110" w:type="dxa"/>
            </w:tcMar>
          </w:tcPr>
          <w:p>
            <w:pPr>
              <w:spacing w:after="40"/>
            </w:pPr>
            <w:r>
              <w:rPr>
                <w:sz w:val="16"/>
              </w:rPr>
              <w:t>Repeated 500s or health failure create a service alert.</w:t>
            </w:r>
          </w:p>
        </w:tc>
        <w:tc>
          <w:tcPr>
            <w:tcW w:type="dxa" w:w="4032"/>
            <w:vAlign w:val="center"/>
            <w:shd w:fill="F2F6FA"/>
            <w:tcMar>
              <w:top w:w="100" w:type="dxa"/>
              <w:start w:w="110" w:type="dxa"/>
              <w:bottom w:w="100" w:type="dxa"/>
              <w:end w:w="110" w:type="dxa"/>
            </w:tcMar>
          </w:tcPr>
          <w:p>
            <w:pPr>
              <w:spacing w:after="40"/>
            </w:pPr>
            <w:r>
              <w:rPr>
                <w:sz w:val="16"/>
              </w:rPr>
              <w:t>Detection and health-monitor paths are present in source; no live failure scenario result supplied.</w:t>
            </w:r>
          </w:p>
        </w:tc>
        <w:tc>
          <w:tcPr>
            <w:tcW w:type="dxa" w:w="1152"/>
            <w:vAlign w:val="center"/>
            <w:shd w:fill="F2F6FA"/>
            <w:tcMar>
              <w:top w:w="100" w:type="dxa"/>
              <w:start w:w="110" w:type="dxa"/>
              <w:bottom w:w="100" w:type="dxa"/>
              <w:end w:w="110" w:type="dxa"/>
            </w:tcMar>
          </w:tcPr>
          <w:p>
            <w:pPr>
              <w:spacing w:after="40"/>
            </w:pPr>
            <w:r>
              <w:rPr>
                <w:sz w:val="16"/>
              </w:rPr>
              <w:t>Pending</w:t>
            </w:r>
          </w:p>
        </w:tc>
      </w:tr>
    </w:tbl>
    <w:p>
      <w:pPr>
        <w:spacing w:after="80"/>
      </w:pPr>
    </w:p>
    <w:p>
      <w:pPr>
        <w:pStyle w:val="Heading2"/>
      </w:pPr>
      <w:r>
        <w:t>Evidence capture register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253858"/>
            <w:vAlign w:val="center"/>
            <w:tcMar>
              <w:top w:w="100" w:type="dxa"/>
              <w:start w:w="110" w:type="dxa"/>
              <w:bottom w:w="100" w:type="dxa"/>
              <w:end w:w="110" w:type="dxa"/>
            </w:tcMar>
          </w:tcPr>
          <w:p>
            <w:r>
              <w:rPr>
                <w:b/>
                <w:color w:val="FFFFFF"/>
                <w:sz w:val="16"/>
              </w:rPr>
              <w:t>ID</w:t>
            </w:r>
          </w:p>
        </w:tc>
        <w:tc>
          <w:tcPr>
            <w:tcW w:type="dxa" w:w="7632"/>
            <w:shd w:fill="253858"/>
            <w:vAlign w:val="center"/>
            <w:tcMar>
              <w:top w:w="100" w:type="dxa"/>
              <w:start w:w="110" w:type="dxa"/>
              <w:bottom w:w="100" w:type="dxa"/>
              <w:end w:w="110" w:type="dxa"/>
            </w:tcMar>
          </w:tcPr>
          <w:p>
            <w:r>
              <w:rPr>
                <w:b/>
                <w:color w:val="FFFFFF"/>
                <w:sz w:val="16"/>
              </w:rPr>
              <w:t>Evidence to capture from live deployment</w:t>
            </w:r>
          </w:p>
        </w:tc>
        <w:tc>
          <w:tcPr>
            <w:tcW w:type="dxa" w:w="1296"/>
            <w:shd w:fill="253858"/>
            <w:vAlign w:val="center"/>
            <w:tcMar>
              <w:top w:w="100" w:type="dxa"/>
              <w:start w:w="110" w:type="dxa"/>
              <w:bottom w:w="100" w:type="dxa"/>
              <w:end w:w="110" w:type="dxa"/>
            </w:tcMar>
          </w:tcPr>
          <w:p>
            <w:r>
              <w:rPr>
                <w:b/>
                <w:color w:val="FFFFFF"/>
                <w:sz w:val="16"/>
              </w:rPr>
              <w:t>Status</w:t>
            </w:r>
          </w:p>
        </w:tc>
      </w:tr>
      <w:tr>
        <w:tc>
          <w:tcPr>
            <w:tcW w:type="dxa" w:w="1152"/>
            <w:vAlign w:val="center"/>
            <w:tcMar>
              <w:top w:w="100" w:type="dxa"/>
              <w:start w:w="110" w:type="dxa"/>
              <w:bottom w:w="100" w:type="dxa"/>
              <w:end w:w="110" w:type="dxa"/>
            </w:tcMar>
          </w:tcPr>
          <w:p>
            <w:pPr>
              <w:spacing w:after="40"/>
            </w:pPr>
            <w:r>
              <w:rPr>
                <w:sz w:val="16"/>
              </w:rPr>
              <w:t>E1</w:t>
            </w:r>
          </w:p>
        </w:tc>
        <w:tc>
          <w:tcPr>
            <w:tcW w:type="dxa" w:w="7632"/>
            <w:vAlign w:val="center"/>
            <w:tcMar>
              <w:top w:w="100" w:type="dxa"/>
              <w:start w:w="110" w:type="dxa"/>
              <w:bottom w:w="100" w:type="dxa"/>
              <w:end w:w="110" w:type="dxa"/>
            </w:tcMar>
          </w:tcPr>
          <w:p>
            <w:pPr>
              <w:spacing w:after="40"/>
            </w:pPr>
            <w:r>
              <w:rPr>
                <w:sz w:val="16"/>
              </w:rPr>
              <w:t>Generated alert detail/list with severity, rule, affected user/service and timestamp.</w:t>
            </w:r>
          </w:p>
        </w:tc>
        <w:tc>
          <w:tcPr>
            <w:tcW w:type="dxa" w:w="1296"/>
            <w:vAlign w:val="center"/>
            <w:tcMar>
              <w:top w:w="100" w:type="dxa"/>
              <w:start w:w="110" w:type="dxa"/>
              <w:bottom w:w="100" w:type="dxa"/>
              <w:end w:w="110" w:type="dxa"/>
            </w:tcMar>
          </w:tcPr>
          <w:p>
            <w:pPr>
              <w:spacing w:after="40"/>
            </w:pPr>
            <w:r>
              <w:rPr>
                <w:sz w:val="16"/>
              </w:rPr>
              <w:t>Pending</w:t>
            </w:r>
          </w:p>
        </w:tc>
      </w:tr>
      <w:tr>
        <w:tc>
          <w:tcPr>
            <w:tcW w:type="dxa" w:w="1152"/>
            <w:vAlign w:val="center"/>
            <w:shd w:fill="F2F6FA"/>
            <w:tcMar>
              <w:top w:w="100" w:type="dxa"/>
              <w:start w:w="110" w:type="dxa"/>
              <w:bottom w:w="100" w:type="dxa"/>
              <w:end w:w="110" w:type="dxa"/>
            </w:tcMar>
          </w:tcPr>
          <w:p>
            <w:pPr>
              <w:spacing w:after="40"/>
            </w:pPr>
            <w:r>
              <w:rPr>
                <w:sz w:val="16"/>
              </w:rPr>
              <w:t>E2</w:t>
            </w:r>
          </w:p>
        </w:tc>
        <w:tc>
          <w:tcPr>
            <w:tcW w:type="dxa" w:w="7632"/>
            <w:vAlign w:val="center"/>
            <w:shd w:fill="F2F6FA"/>
            <w:tcMar>
              <w:top w:w="100" w:type="dxa"/>
              <w:start w:w="110" w:type="dxa"/>
              <w:bottom w:w="100" w:type="dxa"/>
              <w:end w:w="110" w:type="dxa"/>
            </w:tcMar>
          </w:tcPr>
          <w:p>
            <w:pPr>
              <w:spacing w:after="40"/>
            </w:pPr>
            <w:r>
              <w:rPr>
                <w:sz w:val="16"/>
              </w:rPr>
              <w:t>Neo4j Browser graph visualization with labels and relationship types visible.</w:t>
            </w:r>
          </w:p>
        </w:tc>
        <w:tc>
          <w:tcPr>
            <w:tcW w:type="dxa" w:w="1296"/>
            <w:vAlign w:val="center"/>
            <w:shd w:fill="F2F6FA"/>
            <w:tcMar>
              <w:top w:w="100" w:type="dxa"/>
              <w:start w:w="110" w:type="dxa"/>
              <w:bottom w:w="100" w:type="dxa"/>
              <w:end w:w="110" w:type="dxa"/>
            </w:tcMar>
          </w:tcPr>
          <w:p>
            <w:pPr>
              <w:spacing w:after="40"/>
            </w:pPr>
            <w:r>
              <w:rPr>
                <w:sz w:val="16"/>
              </w:rPr>
              <w:t>Pending</w:t>
            </w:r>
          </w:p>
        </w:tc>
      </w:tr>
      <w:tr>
        <w:tc>
          <w:tcPr>
            <w:tcW w:type="dxa" w:w="1152"/>
            <w:vAlign w:val="center"/>
            <w:tcMar>
              <w:top w:w="100" w:type="dxa"/>
              <w:start w:w="110" w:type="dxa"/>
              <w:bottom w:w="100" w:type="dxa"/>
              <w:end w:w="110" w:type="dxa"/>
            </w:tcMar>
          </w:tcPr>
          <w:p>
            <w:pPr>
              <w:spacing w:after="40"/>
            </w:pPr>
            <w:r>
              <w:rPr>
                <w:sz w:val="16"/>
              </w:rPr>
              <w:t>E3</w:t>
            </w:r>
          </w:p>
        </w:tc>
        <w:tc>
          <w:tcPr>
            <w:tcW w:type="dxa" w:w="7632"/>
            <w:vAlign w:val="center"/>
            <w:tcMar>
              <w:top w:w="100" w:type="dxa"/>
              <w:start w:w="110" w:type="dxa"/>
              <w:bottom w:w="100" w:type="dxa"/>
              <w:end w:w="110" w:type="dxa"/>
            </w:tcMar>
          </w:tcPr>
          <w:p>
            <w:pPr>
              <w:spacing w:after="40"/>
            </w:pPr>
            <w:r>
              <w:rPr>
                <w:sz w:val="16"/>
              </w:rPr>
              <w:t>One alert graph path linking event/user, service, threat and control.</w:t>
            </w:r>
          </w:p>
        </w:tc>
        <w:tc>
          <w:tcPr>
            <w:tcW w:type="dxa" w:w="1296"/>
            <w:vAlign w:val="center"/>
            <w:tcMar>
              <w:top w:w="100" w:type="dxa"/>
              <w:start w:w="110" w:type="dxa"/>
              <w:bottom w:w="100" w:type="dxa"/>
              <w:end w:w="110" w:type="dxa"/>
            </w:tcMar>
          </w:tcPr>
          <w:p>
            <w:pPr>
              <w:spacing w:after="40"/>
            </w:pPr>
            <w:r>
              <w:rPr>
                <w:sz w:val="16"/>
              </w:rPr>
              <w:t>Pending</w:t>
            </w:r>
          </w:p>
        </w:tc>
      </w:tr>
      <w:tr>
        <w:tc>
          <w:tcPr>
            <w:tcW w:type="dxa" w:w="1152"/>
            <w:vAlign w:val="center"/>
            <w:shd w:fill="F2F6FA"/>
            <w:tcMar>
              <w:top w:w="100" w:type="dxa"/>
              <w:start w:w="110" w:type="dxa"/>
              <w:bottom w:w="100" w:type="dxa"/>
              <w:end w:w="110" w:type="dxa"/>
            </w:tcMar>
          </w:tcPr>
          <w:p>
            <w:pPr>
              <w:spacing w:after="40"/>
            </w:pPr>
            <w:r>
              <w:rPr>
                <w:sz w:val="16"/>
              </w:rPr>
              <w:t>E4-E6</w:t>
            </w:r>
          </w:p>
        </w:tc>
        <w:tc>
          <w:tcPr>
            <w:tcW w:type="dxa" w:w="7632"/>
            <w:vAlign w:val="center"/>
            <w:shd w:fill="F2F6FA"/>
            <w:tcMar>
              <w:top w:w="100" w:type="dxa"/>
              <w:start w:w="110" w:type="dxa"/>
              <w:bottom w:w="100" w:type="dxa"/>
              <w:end w:w="110" w:type="dxa"/>
            </w:tcMar>
          </w:tcPr>
          <w:p>
            <w:pPr>
              <w:spacing w:after="40"/>
            </w:pPr>
            <w:r>
              <w:rPr>
                <w:sz w:val="16"/>
              </w:rPr>
              <w:t>Neo4j Browser result screenshots for Cypher Queries 1-3 above.</w:t>
            </w:r>
          </w:p>
        </w:tc>
        <w:tc>
          <w:tcPr>
            <w:tcW w:type="dxa" w:w="1296"/>
            <w:vAlign w:val="center"/>
            <w:shd w:fill="F2F6FA"/>
            <w:tcMar>
              <w:top w:w="100" w:type="dxa"/>
              <w:start w:w="110" w:type="dxa"/>
              <w:bottom w:w="100" w:type="dxa"/>
              <w:end w:w="110" w:type="dxa"/>
            </w:tcMar>
          </w:tcPr>
          <w:p>
            <w:pPr>
              <w:spacing w:after="40"/>
            </w:pPr>
            <w:r>
              <w:rPr>
                <w:sz w:val="16"/>
              </w:rPr>
              <w:t>Pending</w:t>
            </w:r>
          </w:p>
        </w:tc>
      </w:tr>
      <w:tr>
        <w:tc>
          <w:tcPr>
            <w:tcW w:type="dxa" w:w="1152"/>
            <w:vAlign w:val="center"/>
            <w:tcMar>
              <w:top w:w="100" w:type="dxa"/>
              <w:start w:w="110" w:type="dxa"/>
              <w:bottom w:w="100" w:type="dxa"/>
              <w:end w:w="110" w:type="dxa"/>
            </w:tcMar>
          </w:tcPr>
          <w:p>
            <w:pPr>
              <w:spacing w:after="40"/>
            </w:pPr>
            <w:r>
              <w:rPr>
                <w:sz w:val="16"/>
              </w:rPr>
              <w:t>E7</w:t>
            </w:r>
          </w:p>
        </w:tc>
        <w:tc>
          <w:tcPr>
            <w:tcW w:type="dxa" w:w="7632"/>
            <w:vAlign w:val="center"/>
            <w:tcMar>
              <w:top w:w="100" w:type="dxa"/>
              <w:start w:w="110" w:type="dxa"/>
              <w:bottom w:w="100" w:type="dxa"/>
              <w:end w:w="110" w:type="dxa"/>
            </w:tcMar>
          </w:tcPr>
          <w:p>
            <w:pPr>
              <w:spacing w:after="40"/>
            </w:pPr>
            <w:r>
              <w:rPr>
                <w:sz w:val="16"/>
              </w:rPr>
              <w:t>Security insights interface screenshot.</w:t>
            </w:r>
          </w:p>
        </w:tc>
        <w:tc>
          <w:tcPr>
            <w:tcW w:type="dxa" w:w="1296"/>
            <w:vAlign w:val="center"/>
            <w:tcMar>
              <w:top w:w="100" w:type="dxa"/>
              <w:start w:w="110" w:type="dxa"/>
              <w:bottom w:w="100" w:type="dxa"/>
              <w:end w:w="110" w:type="dxa"/>
            </w:tcMar>
          </w:tcPr>
          <w:p>
            <w:pPr>
              <w:spacing w:after="40"/>
            </w:pPr>
            <w:r>
              <w:rPr>
                <w:sz w:val="16"/>
              </w:rPr>
              <w:t>Pending</w:t>
            </w:r>
          </w:p>
        </w:tc>
      </w:tr>
      <w:tr>
        <w:tc>
          <w:tcPr>
            <w:tcW w:type="dxa" w:w="1152"/>
            <w:vAlign w:val="center"/>
            <w:shd w:fill="F2F6FA"/>
            <w:tcMar>
              <w:top w:w="100" w:type="dxa"/>
              <w:start w:w="110" w:type="dxa"/>
              <w:bottom w:w="100" w:type="dxa"/>
              <w:end w:w="110" w:type="dxa"/>
            </w:tcMar>
          </w:tcPr>
          <w:p>
            <w:pPr>
              <w:spacing w:after="40"/>
            </w:pPr>
            <w:r>
              <w:rPr>
                <w:sz w:val="16"/>
              </w:rPr>
              <w:t>E8-E10</w:t>
            </w:r>
          </w:p>
        </w:tc>
        <w:tc>
          <w:tcPr>
            <w:tcW w:type="dxa" w:w="7632"/>
            <w:vAlign w:val="center"/>
            <w:shd w:fill="F2F6FA"/>
            <w:tcMar>
              <w:top w:w="100" w:type="dxa"/>
              <w:start w:w="110" w:type="dxa"/>
              <w:bottom w:w="100" w:type="dxa"/>
              <w:end w:w="110" w:type="dxa"/>
            </w:tcMar>
          </w:tcPr>
          <w:p>
            <w:pPr>
              <w:spacing w:after="40"/>
            </w:pPr>
            <w:r>
              <w:rPr>
                <w:sz w:val="16"/>
              </w:rPr>
              <w:t>RAG screenshots for all three questions, including retrieved evidence/method.</w:t>
            </w:r>
          </w:p>
        </w:tc>
        <w:tc>
          <w:tcPr>
            <w:tcW w:type="dxa" w:w="1296"/>
            <w:vAlign w:val="center"/>
            <w:shd w:fill="F2F6FA"/>
            <w:tcMar>
              <w:top w:w="100" w:type="dxa"/>
              <w:start w:w="110" w:type="dxa"/>
              <w:bottom w:w="100" w:type="dxa"/>
              <w:end w:w="110" w:type="dxa"/>
            </w:tcMar>
          </w:tcPr>
          <w:p>
            <w:pPr>
              <w:spacing w:after="40"/>
            </w:pPr>
            <w:r>
              <w:rPr>
                <w:sz w:val="16"/>
              </w:rPr>
              <w:t>Pending</w:t>
            </w:r>
          </w:p>
        </w:tc>
      </w:tr>
    </w:tbl>
    <w:p>
      <w:pPr>
        <w:spacing w:after="80"/>
      </w:pPr>
    </w:p>
    <w:p>
      <w:r>
        <w:t>For a defensible demonstration, record the deployed commit or image tags, local timestamp and timezone, test user identifier (redacted in shared copies), alert ID, exact question, returned answer, and visible evidence nodes/relationships. Replace each Pending status only after saving and checking the corresponding capture. Avoid including passwords, setup keys, JWTs, or unnecessary personal data in screenshots.</w:t>
      </w:r>
    </w:p>
    <w:p>
      <w:pPr>
        <w:pStyle w:val="Heading2"/>
      </w:pPr>
      <w:r>
        <w:t>How this evidence section maps to the supplied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00"/>
            <w:shd w:fill="253858"/>
            <w:vAlign w:val="center"/>
            <w:tcMar>
              <w:top w:w="100" w:type="dxa"/>
              <w:start w:w="110" w:type="dxa"/>
              <w:bottom w:w="100" w:type="dxa"/>
              <w:end w:w="110" w:type="dxa"/>
            </w:tcMar>
          </w:tcPr>
          <w:p>
            <w:r>
              <w:rPr>
                <w:b/>
                <w:color w:val="FFFFFF"/>
                <w:sz w:val="16"/>
              </w:rPr>
              <w:t>Checklist item</w:t>
            </w:r>
          </w:p>
        </w:tc>
        <w:tc>
          <w:tcPr>
            <w:tcW w:type="dxa" w:w="6480"/>
            <w:shd w:fill="253858"/>
            <w:vAlign w:val="center"/>
            <w:tcMar>
              <w:top w:w="100" w:type="dxa"/>
              <w:start w:w="110" w:type="dxa"/>
              <w:bottom w:w="100" w:type="dxa"/>
              <w:end w:w="110" w:type="dxa"/>
            </w:tcMar>
          </w:tcPr>
          <w:p>
            <w:r>
              <w:rPr>
                <w:b/>
                <w:color w:val="FFFFFF"/>
                <w:sz w:val="16"/>
              </w:rPr>
              <w:t>Where addressed</w:t>
            </w:r>
          </w:p>
        </w:tc>
      </w:tr>
      <w:tr>
        <w:tc>
          <w:tcPr>
            <w:tcW w:type="dxa" w:w="3600"/>
            <w:vAlign w:val="center"/>
            <w:tcMar>
              <w:top w:w="100" w:type="dxa"/>
              <w:start w:w="110" w:type="dxa"/>
              <w:bottom w:w="100" w:type="dxa"/>
              <w:end w:w="110" w:type="dxa"/>
            </w:tcMar>
          </w:tcPr>
          <w:p>
            <w:pPr>
              <w:spacing w:after="40"/>
            </w:pPr>
            <w:r>
              <w:rPr>
                <w:sz w:val="16"/>
              </w:rPr>
              <w:t>Project overview</w:t>
            </w:r>
          </w:p>
        </w:tc>
        <w:tc>
          <w:tcPr>
            <w:tcW w:type="dxa" w:w="6480"/>
            <w:vAlign w:val="center"/>
            <w:tcMar>
              <w:top w:w="100" w:type="dxa"/>
              <w:start w:w="110" w:type="dxa"/>
              <w:bottom w:w="100" w:type="dxa"/>
              <w:end w:w="110" w:type="dxa"/>
            </w:tcMar>
          </w:tcPr>
          <w:p>
            <w:pPr>
              <w:spacing w:after="40"/>
            </w:pPr>
            <w:r>
              <w:rPr>
                <w:sz w:val="16"/>
              </w:rPr>
              <w:t>Executive Summary and Section 1; this section 1 to 3.</w:t>
            </w:r>
          </w:p>
        </w:tc>
      </w:tr>
      <w:tr>
        <w:tc>
          <w:tcPr>
            <w:tcW w:type="dxa" w:w="3600"/>
            <w:vAlign w:val="center"/>
            <w:shd w:fill="F2F6FA"/>
            <w:tcMar>
              <w:top w:w="100" w:type="dxa"/>
              <w:start w:w="110" w:type="dxa"/>
              <w:bottom w:w="100" w:type="dxa"/>
              <w:end w:w="110" w:type="dxa"/>
            </w:tcMar>
          </w:tcPr>
          <w:p>
            <w:pPr>
              <w:spacing w:after="40"/>
            </w:pPr>
            <w:r>
              <w:rPr>
                <w:sz w:val="16"/>
              </w:rPr>
              <w:t>Updated architecture</w:t>
            </w:r>
          </w:p>
        </w:tc>
        <w:tc>
          <w:tcPr>
            <w:tcW w:type="dxa" w:w="6480"/>
            <w:vAlign w:val="center"/>
            <w:shd w:fill="F2F6FA"/>
            <w:tcMar>
              <w:top w:w="100" w:type="dxa"/>
              <w:start w:w="110" w:type="dxa"/>
              <w:bottom w:w="100" w:type="dxa"/>
              <w:end w:w="110" w:type="dxa"/>
            </w:tcMar>
          </w:tcPr>
          <w:p>
            <w:pPr>
              <w:spacing w:after="40"/>
            </w:pPr>
            <w:r>
              <w:rPr>
                <w:sz w:val="16"/>
              </w:rPr>
              <w:t>Section 2 and Figures 1-2.</w:t>
            </w:r>
          </w:p>
        </w:tc>
      </w:tr>
      <w:tr>
        <w:tc>
          <w:tcPr>
            <w:tcW w:type="dxa" w:w="3600"/>
            <w:vAlign w:val="center"/>
            <w:tcMar>
              <w:top w:w="100" w:type="dxa"/>
              <w:start w:w="110" w:type="dxa"/>
              <w:bottom w:w="100" w:type="dxa"/>
              <w:end w:w="110" w:type="dxa"/>
            </w:tcMar>
          </w:tcPr>
          <w:p>
            <w:pPr>
              <w:spacing w:after="40"/>
            </w:pPr>
            <w:r>
              <w:rPr>
                <w:sz w:val="16"/>
              </w:rPr>
              <w:t>SOC event collection</w:t>
            </w:r>
          </w:p>
        </w:tc>
        <w:tc>
          <w:tcPr>
            <w:tcW w:type="dxa" w:w="6480"/>
            <w:vAlign w:val="center"/>
            <w:tcMar>
              <w:top w:w="100" w:type="dxa"/>
              <w:start w:w="110" w:type="dxa"/>
              <w:bottom w:w="100" w:type="dxa"/>
              <w:end w:w="110" w:type="dxa"/>
            </w:tcMar>
          </w:tcPr>
          <w:p>
            <w:pPr>
              <w:spacing w:after="40"/>
            </w:pPr>
            <w:r>
              <w:rPr>
                <w:sz w:val="16"/>
              </w:rPr>
              <w:t>Section 3 and this section 1 to 3.</w:t>
            </w:r>
          </w:p>
        </w:tc>
      </w:tr>
      <w:tr>
        <w:tc>
          <w:tcPr>
            <w:tcW w:type="dxa" w:w="3600"/>
            <w:vAlign w:val="center"/>
            <w:shd w:fill="F2F6FA"/>
            <w:tcMar>
              <w:top w:w="100" w:type="dxa"/>
              <w:start w:w="110" w:type="dxa"/>
              <w:bottom w:w="100" w:type="dxa"/>
              <w:end w:w="110" w:type="dxa"/>
            </w:tcMar>
          </w:tcPr>
          <w:p>
            <w:pPr>
              <w:spacing w:after="40"/>
            </w:pPr>
            <w:r>
              <w:rPr>
                <w:sz w:val="16"/>
              </w:rPr>
              <w:t>Detection rules and alert evidence</w:t>
            </w:r>
          </w:p>
        </w:tc>
        <w:tc>
          <w:tcPr>
            <w:tcW w:type="dxa" w:w="6480"/>
            <w:vAlign w:val="center"/>
            <w:shd w:fill="F2F6FA"/>
            <w:tcMar>
              <w:top w:w="100" w:type="dxa"/>
              <w:start w:w="110" w:type="dxa"/>
              <w:bottom w:w="100" w:type="dxa"/>
              <w:end w:w="110" w:type="dxa"/>
            </w:tcMar>
          </w:tcPr>
          <w:p>
            <w:pPr>
              <w:spacing w:after="40"/>
            </w:pPr>
            <w:r>
              <w:rPr>
                <w:sz w:val="16"/>
              </w:rPr>
              <w:t>Section 4 and this section 4; live screenshot E1 pending.</w:t>
            </w:r>
          </w:p>
        </w:tc>
      </w:tr>
      <w:tr>
        <w:tc>
          <w:tcPr>
            <w:tcW w:type="dxa" w:w="3600"/>
            <w:vAlign w:val="center"/>
            <w:tcMar>
              <w:top w:w="100" w:type="dxa"/>
              <w:start w:w="110" w:type="dxa"/>
              <w:bottom w:w="100" w:type="dxa"/>
              <w:end w:w="110" w:type="dxa"/>
            </w:tcMar>
          </w:tcPr>
          <w:p>
            <w:pPr>
              <w:spacing w:after="40"/>
            </w:pPr>
            <w:r>
              <w:rPr>
                <w:sz w:val="16"/>
              </w:rPr>
              <w:t>Knowledge graph and required graph screenshots</w:t>
            </w:r>
          </w:p>
        </w:tc>
        <w:tc>
          <w:tcPr>
            <w:tcW w:type="dxa" w:w="6480"/>
            <w:vAlign w:val="center"/>
            <w:tcMar>
              <w:top w:w="100" w:type="dxa"/>
              <w:start w:w="110" w:type="dxa"/>
              <w:bottom w:w="100" w:type="dxa"/>
              <w:end w:w="110" w:type="dxa"/>
            </w:tcMar>
          </w:tcPr>
          <w:p>
            <w:pPr>
              <w:spacing w:after="40"/>
            </w:pPr>
            <w:r>
              <w:rPr>
                <w:sz w:val="16"/>
              </w:rPr>
              <w:t>Section 5 and Figure 1; live captures E2-E3 pending.</w:t>
            </w:r>
          </w:p>
        </w:tc>
      </w:tr>
      <w:tr>
        <w:tc>
          <w:tcPr>
            <w:tcW w:type="dxa" w:w="3600"/>
            <w:vAlign w:val="center"/>
            <w:shd w:fill="F2F6FA"/>
            <w:tcMar>
              <w:top w:w="100" w:type="dxa"/>
              <w:start w:w="110" w:type="dxa"/>
              <w:bottom w:w="100" w:type="dxa"/>
              <w:end w:w="110" w:type="dxa"/>
            </w:tcMar>
          </w:tcPr>
          <w:p>
            <w:pPr>
              <w:spacing w:after="40"/>
            </w:pPr>
            <w:r>
              <w:rPr>
                <w:sz w:val="16"/>
              </w:rPr>
              <w:t>Three or more graph queries with results</w:t>
            </w:r>
          </w:p>
        </w:tc>
        <w:tc>
          <w:tcPr>
            <w:tcW w:type="dxa" w:w="6480"/>
            <w:vAlign w:val="center"/>
            <w:shd w:fill="F2F6FA"/>
            <w:tcMar>
              <w:top w:w="100" w:type="dxa"/>
              <w:start w:w="110" w:type="dxa"/>
              <w:bottom w:w="100" w:type="dxa"/>
              <w:end w:w="110" w:type="dxa"/>
            </w:tcMar>
          </w:tcPr>
          <w:p>
            <w:pPr>
              <w:spacing w:after="40"/>
            </w:pPr>
            <w:r>
              <w:rPr>
                <w:sz w:val="16"/>
              </w:rPr>
              <w:t>This section 6; four runnable queries included, screenshots E4-E6 pending.</w:t>
            </w:r>
          </w:p>
        </w:tc>
      </w:tr>
      <w:tr>
        <w:tc>
          <w:tcPr>
            <w:tcW w:type="dxa" w:w="3600"/>
            <w:vAlign w:val="center"/>
            <w:tcMar>
              <w:top w:w="100" w:type="dxa"/>
              <w:start w:w="110" w:type="dxa"/>
              <w:bottom w:w="100" w:type="dxa"/>
              <w:end w:w="110" w:type="dxa"/>
            </w:tcMar>
          </w:tcPr>
          <w:p>
            <w:pPr>
              <w:spacing w:after="40"/>
            </w:pPr>
            <w:r>
              <w:rPr>
                <w:sz w:val="16"/>
              </w:rPr>
              <w:t>RAG design, three questions, answers and evidence</w:t>
            </w:r>
          </w:p>
        </w:tc>
        <w:tc>
          <w:tcPr>
            <w:tcW w:type="dxa" w:w="6480"/>
            <w:vAlign w:val="center"/>
            <w:tcMar>
              <w:top w:w="100" w:type="dxa"/>
              <w:start w:w="110" w:type="dxa"/>
              <w:bottom w:w="100" w:type="dxa"/>
              <w:end w:w="110" w:type="dxa"/>
            </w:tcMar>
          </w:tcPr>
          <w:p>
            <w:pPr>
              <w:spacing w:after="40"/>
            </w:pPr>
            <w:r>
              <w:rPr>
                <w:sz w:val="16"/>
              </w:rPr>
              <w:t>Section 6 of the main report and this section 7; runtime captures E7-E10 pending.</w:t>
            </w:r>
          </w:p>
        </w:tc>
      </w:tr>
      <w:tr>
        <w:tc>
          <w:tcPr>
            <w:tcW w:type="dxa" w:w="3600"/>
            <w:vAlign w:val="center"/>
            <w:shd w:fill="F2F6FA"/>
            <w:tcMar>
              <w:top w:w="100" w:type="dxa"/>
              <w:start w:w="110" w:type="dxa"/>
              <w:bottom w:w="100" w:type="dxa"/>
              <w:end w:w="110" w:type="dxa"/>
            </w:tcMar>
          </w:tcPr>
          <w:p>
            <w:pPr>
              <w:spacing w:after="40"/>
            </w:pPr>
            <w:r>
              <w:rPr>
                <w:sz w:val="16"/>
              </w:rPr>
              <w:t>Evaluation table</w:t>
            </w:r>
          </w:p>
        </w:tc>
        <w:tc>
          <w:tcPr>
            <w:tcW w:type="dxa" w:w="6480"/>
            <w:vAlign w:val="center"/>
            <w:shd w:fill="F2F6FA"/>
            <w:tcMar>
              <w:top w:w="100" w:type="dxa"/>
              <w:start w:w="110" w:type="dxa"/>
              <w:bottom w:w="100" w:type="dxa"/>
              <w:end w:w="110" w:type="dxa"/>
            </w:tcMar>
          </w:tcPr>
          <w:p>
            <w:pPr>
              <w:spacing w:after="40"/>
            </w:pPr>
            <w:r>
              <w:rPr>
                <w:sz w:val="16"/>
              </w:rPr>
              <w:t>This section 8; unrun checks are explicitly Pending.</w:t>
            </w:r>
          </w:p>
        </w:tc>
      </w:tr>
    </w:tbl>
    <w:p>
      <w:pPr>
        <w:spacing w:after="8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 xml:space="preserve">Phase 2 technical report  •  12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579"/>
        <w:sz w:val="16"/>
      </w:rPr>
      <w:t>NEXTSTEP  |  SECURITY OPERATIONS CENTRE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Operations Centre and Knowledge Graph RAG — Phase 2 Technical Report</dc:title>
  <dc:subject>Architecture, design choices, limitations and implementation evidence</dc:subject>
  <dc:creator>Recruitment Platform Project</dc:creator>
  <cp:keywords>SOC, Neo4j, GraphRAG, Phase 2, architecture, evidence</cp:keywords>
  <dc:description>generated by python-docx</dc:description>
  <cp:lastModifiedBy/>
  <cp:revision>1</cp:revision>
  <dcterms:created xsi:type="dcterms:W3CDTF">2013-12-23T23:15:00Z</dcterms:created>
  <dcterms:modified xsi:type="dcterms:W3CDTF">2013-12-23T23:15:00Z</dcterms:modified>
  <cp:category/>
</cp:coreProperties>
</file>