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160"/>
      </w:pPr>
      <w:r>
        <w:rPr>
          <w:rFonts w:ascii="Aptos Display" w:hAnsi="Aptos Display"/>
          <w:b/>
          <w:color w:val="0B2545"/>
          <w:sz w:val="60"/>
        </w:rPr>
        <w:t>QUANTUM CLUB</w:t>
      </w:r>
    </w:p>
    <w:p>
      <w:pPr>
        <w:spacing w:after="400"/>
      </w:pPr>
      <w:r>
        <w:rPr>
          <w:rFonts w:ascii="Aptos Display" w:hAnsi="Aptos Display"/>
          <w:b w:val="0"/>
          <w:color w:val="5A3EC8"/>
          <w:sz w:val="28"/>
        </w:rPr>
        <w:t>Production Product Requirements Document for Quantum Park’s in-house loyalty, CRM, membership and engagement platform</w:t>
      </w:r>
    </w:p>
    <w:tbl>
      <w:tblPr>
        <w:tblStyle w:val="TableGrid"/>
        <w:tblW w:type="dxa" w:w="9360"/>
        <w:jc w:val="left"/>
        <w:tblLayout w:type="fixed"/>
        <w:tblLook w:firstColumn="1" w:firstRow="1" w:lastColumn="0" w:lastRow="0" w:noHBand="0" w:noVBand="1" w:val="04A0"/>
        <w:tblInd w:w="120" w:type="dxa"/>
      </w:tblPr>
      <w:tblGrid>
        <w:gridCol w:w="1950"/>
        <w:gridCol w:w="7410"/>
      </w:tblGrid>
      <w:tr>
        <w:trPr>
          <w:tblHeader w:val="true"/>
        </w:trPr>
        <w:tc>
          <w:tcPr>
            <w:tcW w:type="dxa" w:w="1950"/>
            <w:vAlign w:val="center"/>
            <w:shd w:fill="0B2545"/>
            <w:tcMar>
              <w:top w:w="90" w:type="dxa"/>
              <w:start w:w="120" w:type="dxa"/>
              <w:bottom w:w="90" w:type="dxa"/>
              <w:end w:w="120" w:type="dxa"/>
            </w:tcMar>
          </w:tcPr>
          <w:p>
            <w:pPr>
              <w:spacing w:after="0"/>
            </w:pPr>
            <w:r/>
            <w:r>
              <w:rPr>
                <w:rFonts w:ascii="Aptos" w:hAnsi="Aptos"/>
                <w:b/>
                <w:color w:val="FFFFFF"/>
                <w:sz w:val="17"/>
              </w:rPr>
              <w:t>Document</w:t>
            </w:r>
          </w:p>
        </w:tc>
        <w:tc>
          <w:tcPr>
            <w:tcW w:type="dxa" w:w="7410"/>
            <w:shd w:fill="0B2545"/>
            <w:tcMar>
              <w:top w:w="90" w:type="dxa"/>
              <w:start w:w="120" w:type="dxa"/>
              <w:bottom w:w="90" w:type="dxa"/>
              <w:end w:w="120" w:type="dxa"/>
            </w:tcMar>
          </w:tcPr>
          <w:p>
            <w:pPr>
              <w:spacing w:after="0"/>
            </w:pPr>
            <w:r/>
            <w:r>
              <w:rPr>
                <w:rFonts w:ascii="Aptos" w:hAnsi="Aptos"/>
                <w:b/>
                <w:color w:val="FFFFFF"/>
                <w:sz w:val="17"/>
              </w:rPr>
              <w:t>Value</w:t>
            </w:r>
          </w:p>
        </w:tc>
      </w:tr>
      <w:tr>
        <w:tc>
          <w:tcPr>
            <w:tcW w:type="dxa" w:w="1950"/>
            <w:vAlign w:val="top"/>
            <w:tcMar>
              <w:top w:w="90" w:type="dxa"/>
              <w:start w:w="120" w:type="dxa"/>
              <w:bottom w:w="90" w:type="dxa"/>
              <w:end w:w="120" w:type="dxa"/>
            </w:tcMar>
          </w:tcPr>
          <w:p>
            <w:pPr>
              <w:spacing w:after="0" w:line="250" w:lineRule="auto"/>
            </w:pPr>
            <w:r/>
            <w:r>
              <w:rPr>
                <w:rFonts w:ascii="Aptos" w:hAnsi="Aptos"/>
                <w:b w:val="0"/>
                <w:color w:val="1D2433"/>
                <w:sz w:val="17"/>
              </w:rPr>
              <w:t>Owner</w:t>
            </w:r>
          </w:p>
        </w:tc>
        <w:tc>
          <w:tcPr>
            <w:tcW w:type="dxa" w:w="7410"/>
            <w:vAlign w:val="top"/>
            <w:tcMar>
              <w:top w:w="90" w:type="dxa"/>
              <w:start w:w="120" w:type="dxa"/>
              <w:bottom w:w="90" w:type="dxa"/>
              <w:end w:w="120" w:type="dxa"/>
            </w:tcMar>
          </w:tcPr>
          <w:p>
            <w:pPr>
              <w:spacing w:after="0" w:line="250" w:lineRule="auto"/>
            </w:pPr>
            <w:r/>
            <w:r>
              <w:rPr>
                <w:rFonts w:ascii="Aptos" w:hAnsi="Aptos"/>
                <w:b w:val="0"/>
                <w:color w:val="1D2433"/>
                <w:sz w:val="17"/>
              </w:rPr>
              <w:t>Quantum Park</w:t>
            </w:r>
          </w:p>
        </w:tc>
      </w:tr>
      <w:tr>
        <w:tc>
          <w:tcPr>
            <w:tcW w:type="dxa" w:w="1950"/>
            <w:vAlign w:val="top"/>
            <w:shd w:fill="F6F8FB"/>
            <w:tcMar>
              <w:top w:w="90" w:type="dxa"/>
              <w:start w:w="120" w:type="dxa"/>
              <w:bottom w:w="90" w:type="dxa"/>
              <w:end w:w="120" w:type="dxa"/>
            </w:tcMar>
          </w:tcPr>
          <w:p>
            <w:pPr>
              <w:spacing w:after="0" w:line="250" w:lineRule="auto"/>
            </w:pPr>
            <w:r/>
            <w:r>
              <w:rPr>
                <w:rFonts w:ascii="Aptos" w:hAnsi="Aptos"/>
                <w:b w:val="0"/>
                <w:color w:val="1D2433"/>
                <w:sz w:val="17"/>
              </w:rPr>
              <w:t>Status</w:t>
            </w:r>
          </w:p>
        </w:tc>
        <w:tc>
          <w:tcPr>
            <w:tcW w:type="dxa" w:w="7410"/>
            <w:vAlign w:val="top"/>
            <w:shd w:fill="F6F8FB"/>
            <w:tcMar>
              <w:top w:w="90" w:type="dxa"/>
              <w:start w:w="120" w:type="dxa"/>
              <w:bottom w:w="90" w:type="dxa"/>
              <w:end w:w="120" w:type="dxa"/>
            </w:tcMar>
          </w:tcPr>
          <w:p>
            <w:pPr>
              <w:spacing w:after="0" w:line="250" w:lineRule="auto"/>
            </w:pPr>
            <w:r/>
            <w:r>
              <w:rPr>
                <w:rFonts w:ascii="Aptos" w:hAnsi="Aptos"/>
                <w:b w:val="0"/>
                <w:color w:val="1D2433"/>
                <w:sz w:val="17"/>
              </w:rPr>
              <w:t>Production build specification — authoritative product scope</w:t>
            </w:r>
          </w:p>
        </w:tc>
      </w:tr>
      <w:tr>
        <w:tc>
          <w:tcPr>
            <w:tcW w:type="dxa" w:w="1950"/>
            <w:vAlign w:val="top"/>
            <w:tcMar>
              <w:top w:w="90" w:type="dxa"/>
              <w:start w:w="120" w:type="dxa"/>
              <w:bottom w:w="90" w:type="dxa"/>
              <w:end w:w="120" w:type="dxa"/>
            </w:tcMar>
          </w:tcPr>
          <w:p>
            <w:pPr>
              <w:spacing w:after="0" w:line="250" w:lineRule="auto"/>
            </w:pPr>
            <w:r/>
            <w:r>
              <w:rPr>
                <w:rFonts w:ascii="Aptos" w:hAnsi="Aptos"/>
                <w:b w:val="0"/>
                <w:color w:val="1D2433"/>
                <w:sz w:val="17"/>
              </w:rPr>
              <w:t>Version</w:t>
            </w:r>
          </w:p>
        </w:tc>
        <w:tc>
          <w:tcPr>
            <w:tcW w:type="dxa" w:w="7410"/>
            <w:vAlign w:val="top"/>
            <w:tcMar>
              <w:top w:w="90" w:type="dxa"/>
              <w:start w:w="120" w:type="dxa"/>
              <w:bottom w:w="90" w:type="dxa"/>
              <w:end w:w="120" w:type="dxa"/>
            </w:tcMar>
          </w:tcPr>
          <w:p>
            <w:pPr>
              <w:spacing w:after="0" w:line="250" w:lineRule="auto"/>
            </w:pPr>
            <w:r/>
            <w:r>
              <w:rPr>
                <w:rFonts w:ascii="Aptos" w:hAnsi="Aptos"/>
                <w:b w:val="0"/>
                <w:color w:val="1D2433"/>
                <w:sz w:val="17"/>
              </w:rPr>
              <w:t>1.0</w:t>
            </w:r>
          </w:p>
        </w:tc>
      </w:tr>
      <w:tr>
        <w:tc>
          <w:tcPr>
            <w:tcW w:type="dxa" w:w="1950"/>
            <w:vAlign w:val="top"/>
            <w:shd w:fill="F6F8FB"/>
            <w:tcMar>
              <w:top w:w="90" w:type="dxa"/>
              <w:start w:w="120" w:type="dxa"/>
              <w:bottom w:w="90" w:type="dxa"/>
              <w:end w:w="120" w:type="dxa"/>
            </w:tcMar>
          </w:tcPr>
          <w:p>
            <w:pPr>
              <w:spacing w:after="0" w:line="250" w:lineRule="auto"/>
            </w:pPr>
            <w:r/>
            <w:r>
              <w:rPr>
                <w:rFonts w:ascii="Aptos" w:hAnsi="Aptos"/>
                <w:b w:val="0"/>
                <w:color w:val="1D2433"/>
                <w:sz w:val="17"/>
              </w:rPr>
              <w:t>Date</w:t>
            </w:r>
          </w:p>
        </w:tc>
        <w:tc>
          <w:tcPr>
            <w:tcW w:type="dxa" w:w="7410"/>
            <w:vAlign w:val="top"/>
            <w:shd w:fill="F6F8FB"/>
            <w:tcMar>
              <w:top w:w="90" w:type="dxa"/>
              <w:start w:w="120" w:type="dxa"/>
              <w:bottom w:w="90" w:type="dxa"/>
              <w:end w:w="120" w:type="dxa"/>
            </w:tcMar>
          </w:tcPr>
          <w:p>
            <w:pPr>
              <w:spacing w:after="0" w:line="250" w:lineRule="auto"/>
            </w:pPr>
            <w:r/>
            <w:r>
              <w:rPr>
                <w:rFonts w:ascii="Aptos" w:hAnsi="Aptos"/>
                <w:b w:val="0"/>
                <w:color w:val="1D2433"/>
                <w:sz w:val="17"/>
              </w:rPr>
              <w:t>22 July 2026</w:t>
            </w:r>
          </w:p>
        </w:tc>
      </w:tr>
      <w:tr>
        <w:tc>
          <w:tcPr>
            <w:tcW w:type="dxa" w:w="1950"/>
            <w:vAlign w:val="top"/>
            <w:tcMar>
              <w:top w:w="90" w:type="dxa"/>
              <w:start w:w="120" w:type="dxa"/>
              <w:bottom w:w="90" w:type="dxa"/>
              <w:end w:w="120" w:type="dxa"/>
            </w:tcMar>
          </w:tcPr>
          <w:p>
            <w:pPr>
              <w:spacing w:after="0" w:line="250" w:lineRule="auto"/>
            </w:pPr>
            <w:r/>
            <w:r>
              <w:rPr>
                <w:rFonts w:ascii="Aptos" w:hAnsi="Aptos"/>
                <w:b w:val="0"/>
                <w:color w:val="1D2433"/>
                <w:sz w:val="17"/>
              </w:rPr>
              <w:t>Audience</w:t>
            </w:r>
          </w:p>
        </w:tc>
        <w:tc>
          <w:tcPr>
            <w:tcW w:type="dxa" w:w="7410"/>
            <w:vAlign w:val="top"/>
            <w:tcMar>
              <w:top w:w="90" w:type="dxa"/>
              <w:start w:w="120" w:type="dxa"/>
              <w:bottom w:w="90" w:type="dxa"/>
              <w:end w:w="120" w:type="dxa"/>
            </w:tcMar>
          </w:tcPr>
          <w:p>
            <w:pPr>
              <w:spacing w:after="0" w:line="250" w:lineRule="auto"/>
            </w:pPr>
            <w:r/>
            <w:r>
              <w:rPr>
                <w:rFonts w:ascii="Aptos" w:hAnsi="Aptos"/>
                <w:b w:val="0"/>
                <w:color w:val="1D2433"/>
                <w:sz w:val="17"/>
              </w:rPr>
              <w:t>Executive leadership, marketing, operations, finance, data protection, Codex developer agents and production operators</w:t>
            </w:r>
          </w:p>
        </w:tc>
      </w:tr>
      <w:tr>
        <w:tc>
          <w:tcPr>
            <w:tcW w:type="dxa" w:w="1950"/>
            <w:vAlign w:val="top"/>
            <w:shd w:fill="F6F8FB"/>
            <w:tcMar>
              <w:top w:w="90" w:type="dxa"/>
              <w:start w:w="120" w:type="dxa"/>
              <w:bottom w:w="90" w:type="dxa"/>
              <w:end w:w="120" w:type="dxa"/>
            </w:tcMar>
          </w:tcPr>
          <w:p>
            <w:pPr>
              <w:spacing w:after="0" w:line="250" w:lineRule="auto"/>
            </w:pPr>
            <w:r/>
            <w:r>
              <w:rPr>
                <w:rFonts w:ascii="Aptos" w:hAnsi="Aptos"/>
                <w:b w:val="0"/>
                <w:color w:val="1D2433"/>
                <w:sz w:val="17"/>
              </w:rPr>
              <w:t>Build model</w:t>
            </w:r>
          </w:p>
        </w:tc>
        <w:tc>
          <w:tcPr>
            <w:tcW w:type="dxa" w:w="7410"/>
            <w:vAlign w:val="top"/>
            <w:shd w:fill="F6F8FB"/>
            <w:tcMar>
              <w:top w:w="90" w:type="dxa"/>
              <w:start w:w="120" w:type="dxa"/>
              <w:bottom w:w="90" w:type="dxa"/>
              <w:end w:w="120" w:type="dxa"/>
            </w:tcMar>
          </w:tcPr>
          <w:p>
            <w:pPr>
              <w:spacing w:after="0" w:line="250" w:lineRule="auto"/>
            </w:pPr>
            <w:r/>
            <w:r>
              <w:rPr>
                <w:rFonts w:ascii="Aptos" w:hAnsi="Aptos"/>
                <w:b w:val="0"/>
                <w:color w:val="1D2433"/>
                <w:sz w:val="17"/>
              </w:rPr>
              <w:t>Agentic one-build: complete production service; no MVP or deferred product phase</w:t>
            </w:r>
          </w:p>
        </w:tc>
      </w:tr>
      <w:tr>
        <w:tc>
          <w:tcPr>
            <w:tcW w:type="dxa" w:w="1950"/>
            <w:vAlign w:val="top"/>
            <w:tcMar>
              <w:top w:w="90" w:type="dxa"/>
              <w:start w:w="120" w:type="dxa"/>
              <w:bottom w:w="90" w:type="dxa"/>
              <w:end w:w="120" w:type="dxa"/>
            </w:tcMar>
          </w:tcPr>
          <w:p>
            <w:pPr>
              <w:spacing w:after="0" w:line="250" w:lineRule="auto"/>
            </w:pPr>
            <w:r/>
            <w:r>
              <w:rPr>
                <w:rFonts w:ascii="Aptos" w:hAnsi="Aptos"/>
                <w:b w:val="0"/>
                <w:color w:val="1D2433"/>
                <w:sz w:val="17"/>
              </w:rPr>
              <w:t>Confidentiality</w:t>
            </w:r>
          </w:p>
        </w:tc>
        <w:tc>
          <w:tcPr>
            <w:tcW w:type="dxa" w:w="7410"/>
            <w:vAlign w:val="top"/>
            <w:tcMar>
              <w:top w:w="90" w:type="dxa"/>
              <w:start w:w="120" w:type="dxa"/>
              <w:bottom w:w="90" w:type="dxa"/>
              <w:end w:w="120" w:type="dxa"/>
            </w:tcMar>
          </w:tcPr>
          <w:p>
            <w:pPr>
              <w:spacing w:after="0" w:line="250" w:lineRule="auto"/>
            </w:pPr>
            <w:r/>
            <w:r>
              <w:rPr>
                <w:rFonts w:ascii="Aptos" w:hAnsi="Aptos"/>
                <w:b w:val="0"/>
                <w:color w:val="1D2433"/>
                <w:sz w:val="17"/>
              </w:rPr>
              <w:t>Internal and confidential</w:t>
            </w:r>
          </w:p>
        </w:tc>
      </w:tr>
    </w:tbl>
    <w:p>
      <w:pPr>
        <w:spacing w:after="20"/>
      </w:pPr>
    </w:p>
    <w:p>
      <w:pPr>
        <w:spacing w:before="100" w:after="140" w:line="259" w:lineRule="auto"/>
        <w:ind w:left="160" w:right="160"/>
        <w:shd w:fill="E8EEF5"/>
        <w:pBdr>
          <w:top w:val="single" w:sz="6" w:space="5" w:color="AAB4C3"/>
          <w:left w:val="single" w:sz="6" w:space="5" w:color="AAB4C3"/>
          <w:bottom w:val="single" w:sz="6" w:space="5" w:color="AAB4C3"/>
          <w:right w:val="single" w:sz="6" w:space="5" w:color="AAB4C3"/>
        </w:pBdr>
      </w:pPr>
      <w:r>
        <w:rPr>
          <w:rFonts w:ascii="Aptos" w:hAnsi="Aptos"/>
          <w:b/>
          <w:color w:val="5A3EC8"/>
          <w:sz w:val="16"/>
        </w:rPr>
        <w:t xml:space="preserve">CORE DIRECTIVE  </w:t>
      </w:r>
      <w:r>
        <w:rPr>
          <w:rFonts w:ascii="Aptos" w:hAnsi="Aptos"/>
          <w:b w:val="0"/>
          <w:color w:val="1D2433"/>
          <w:sz w:val="18"/>
        </w:rPr>
        <w:t>Build the complete, production-grade Quantum Club platform described in this PRD. Do not reduce the scope to an MVP, proof of concept, demo, prototype or phased product. A single production release may use controlled cutover and feature flags for operational safety, but every capability and control defined here must exist, be tested and be deployable in the completed system.</w:t>
      </w:r>
    </w:p>
    <w:p>
      <w:r>
        <w:rPr>
          <w:rFonts w:ascii="Aptos" w:hAnsi="Aptos"/>
          <w:b w:val="0"/>
          <w:i w:val="0"/>
          <w:color w:val="1D2433"/>
          <w:sz w:val="19"/>
        </w:rPr>
        <w:t>This PRD is intentionally explicit. Where an external interface is not publicly documented, it defines a production adapter contract, reconciliation path and operational fallback rather than inventing an integration. It is the product contract; the Architecture Pack and Master Build Prompt must implement and enforce it.</w:t>
      </w:r>
    </w:p>
    <w:p>
      <w:r>
        <w:br w:type="page"/>
      </w:r>
    </w:p>
    <w:p>
      <w:pPr>
        <w:pStyle w:val="Heading1"/>
        <w:keepNext/>
      </w:pPr>
      <w:r>
        <w:t>Document control and authority</w:t>
      </w:r>
    </w:p>
    <w:p>
      <w:pPr>
        <w:pStyle w:val="Heading2"/>
        <w:keepNext/>
      </w:pPr>
      <w:r>
        <w:t>Purpose</w:t>
      </w:r>
    </w:p>
    <w:p>
      <w:r>
        <w:rPr>
          <w:rFonts w:ascii="Aptos" w:hAnsi="Aptos"/>
          <w:b w:val="0"/>
          <w:i w:val="0"/>
          <w:color w:val="1D2433"/>
          <w:sz w:val="19"/>
        </w:rPr>
        <w:t>This document defines what Quantum Club must do, for whom, under which business rules, and to what production standard. It is intended to let autonomous developer agents implement the complete service without relying on undocumented product assumptions. It covers the customer product, staff tooling, administration, loyalty ledger, campaigns, rewards, memberships, vouchers, integrations, analytics, security, privacy, operations and production acceptance gates.</w:t>
      </w:r>
    </w:p>
    <w:p>
      <w:pPr>
        <w:pStyle w:val="Heading2"/>
        <w:keepNext/>
      </w:pPr>
      <w:r>
        <w:t>Normative language</w:t>
      </w:r>
    </w:p>
    <w:tbl>
      <w:tblPr>
        <w:tblStyle w:val="TableGrid"/>
        <w:tblW w:type="dxa" w:w="9360"/>
        <w:jc w:val="left"/>
        <w:tblLayout w:type="fixed"/>
        <w:tblLook w:firstColumn="1" w:firstRow="1" w:lastColumn="0" w:lastRow="0" w:noHBand="0" w:noVBand="1" w:val="04A0"/>
        <w:tblInd w:w="120" w:type="dxa"/>
      </w:tblPr>
      <w:tblGrid>
        <w:gridCol w:w="1700"/>
        <w:gridCol w:w="7660"/>
      </w:tblGrid>
      <w:tr>
        <w:trPr>
          <w:tblHeader w:val="true"/>
        </w:trPr>
        <w:tc>
          <w:tcPr>
            <w:tcW w:type="dxa" w:w="1700"/>
            <w:vAlign w:val="center"/>
            <w:shd w:fill="0B2545"/>
            <w:tcMar>
              <w:top w:w="90" w:type="dxa"/>
              <w:start w:w="120" w:type="dxa"/>
              <w:bottom w:w="90" w:type="dxa"/>
              <w:end w:w="120" w:type="dxa"/>
            </w:tcMar>
          </w:tcPr>
          <w:p>
            <w:pPr>
              <w:spacing w:after="0"/>
            </w:pPr>
            <w:r/>
            <w:r>
              <w:rPr>
                <w:rFonts w:ascii="Aptos" w:hAnsi="Aptos"/>
                <w:b/>
                <w:color w:val="FFFFFF"/>
                <w:sz w:val="16"/>
              </w:rPr>
              <w:t>Term</w:t>
            </w:r>
          </w:p>
        </w:tc>
        <w:tc>
          <w:tcPr>
            <w:tcW w:type="dxa" w:w="7660"/>
            <w:shd w:fill="0B2545"/>
            <w:tcMar>
              <w:top w:w="90" w:type="dxa"/>
              <w:start w:w="120" w:type="dxa"/>
              <w:bottom w:w="90" w:type="dxa"/>
              <w:end w:w="120" w:type="dxa"/>
            </w:tcMar>
          </w:tcPr>
          <w:p>
            <w:pPr>
              <w:spacing w:after="0"/>
            </w:pPr>
            <w:r/>
            <w:r>
              <w:rPr>
                <w:rFonts w:ascii="Aptos" w:hAnsi="Aptos"/>
                <w:b/>
                <w:color w:val="FFFFFF"/>
                <w:sz w:val="16"/>
              </w:rPr>
              <w:t>Meaning</w:t>
            </w:r>
          </w:p>
        </w:tc>
      </w:tr>
      <w:tr>
        <w:tc>
          <w:tcPr>
            <w:tcW w:type="dxa" w:w="1700"/>
            <w:vAlign w:val="top"/>
            <w:tcMar>
              <w:top w:w="90" w:type="dxa"/>
              <w:start w:w="120" w:type="dxa"/>
              <w:bottom w:w="90" w:type="dxa"/>
              <w:end w:w="120" w:type="dxa"/>
            </w:tcMar>
          </w:tcPr>
          <w:p>
            <w:pPr>
              <w:spacing w:after="0" w:line="250" w:lineRule="auto"/>
            </w:pPr>
            <w:r/>
            <w:r>
              <w:rPr>
                <w:rFonts w:ascii="Aptos" w:hAnsi="Aptos"/>
                <w:b w:val="0"/>
                <w:color w:val="1D2433"/>
                <w:sz w:val="16"/>
              </w:rPr>
              <w:t>MUST / SHALL</w:t>
            </w:r>
          </w:p>
        </w:tc>
        <w:tc>
          <w:tcPr>
            <w:tcW w:type="dxa" w:w="7660"/>
            <w:vAlign w:val="top"/>
            <w:tcMar>
              <w:top w:w="90" w:type="dxa"/>
              <w:start w:w="120" w:type="dxa"/>
              <w:bottom w:w="90" w:type="dxa"/>
              <w:end w:w="120" w:type="dxa"/>
            </w:tcMar>
          </w:tcPr>
          <w:p>
            <w:pPr>
              <w:spacing w:after="0" w:line="250" w:lineRule="auto"/>
            </w:pPr>
            <w:r/>
            <w:r>
              <w:rPr>
                <w:rFonts w:ascii="Aptos" w:hAnsi="Aptos"/>
                <w:b w:val="0"/>
                <w:color w:val="1D2433"/>
                <w:sz w:val="16"/>
              </w:rPr>
              <w:t>Mandatory for production acceptance.</w:t>
            </w:r>
          </w:p>
        </w:tc>
      </w:tr>
      <w:tr>
        <w:tc>
          <w:tcPr>
            <w:tcW w:type="dxa" w:w="1700"/>
            <w:vAlign w:val="top"/>
            <w:shd w:fill="F6F8FB"/>
            <w:tcMar>
              <w:top w:w="90" w:type="dxa"/>
              <w:start w:w="120" w:type="dxa"/>
              <w:bottom w:w="90" w:type="dxa"/>
              <w:end w:w="120" w:type="dxa"/>
            </w:tcMar>
          </w:tcPr>
          <w:p>
            <w:pPr>
              <w:spacing w:after="0" w:line="250" w:lineRule="auto"/>
            </w:pPr>
            <w:r/>
            <w:r>
              <w:rPr>
                <w:rFonts w:ascii="Aptos" w:hAnsi="Aptos"/>
                <w:b w:val="0"/>
                <w:color w:val="1D2433"/>
                <w:sz w:val="16"/>
              </w:rPr>
              <w:t>MUST NOT / SHALL NOT</w:t>
            </w:r>
          </w:p>
        </w:tc>
        <w:tc>
          <w:tcPr>
            <w:tcW w:type="dxa" w:w="7660"/>
            <w:vAlign w:val="top"/>
            <w:shd w:fill="F6F8FB"/>
            <w:tcMar>
              <w:top w:w="90" w:type="dxa"/>
              <w:start w:w="120" w:type="dxa"/>
              <w:bottom w:w="90" w:type="dxa"/>
              <w:end w:w="120" w:type="dxa"/>
            </w:tcMar>
          </w:tcPr>
          <w:p>
            <w:pPr>
              <w:spacing w:after="0" w:line="250" w:lineRule="auto"/>
            </w:pPr>
            <w:r/>
            <w:r>
              <w:rPr>
                <w:rFonts w:ascii="Aptos" w:hAnsi="Aptos"/>
                <w:b w:val="0"/>
                <w:color w:val="1D2433"/>
                <w:sz w:val="16"/>
              </w:rPr>
              <w:t>Prohibited behaviour.</w:t>
            </w:r>
          </w:p>
        </w:tc>
      </w:tr>
      <w:tr>
        <w:tc>
          <w:tcPr>
            <w:tcW w:type="dxa" w:w="1700"/>
            <w:vAlign w:val="top"/>
            <w:tcMar>
              <w:top w:w="90" w:type="dxa"/>
              <w:start w:w="120" w:type="dxa"/>
              <w:bottom w:w="90" w:type="dxa"/>
              <w:end w:w="120" w:type="dxa"/>
            </w:tcMar>
          </w:tcPr>
          <w:p>
            <w:pPr>
              <w:spacing w:after="0" w:line="250" w:lineRule="auto"/>
            </w:pPr>
            <w:r/>
            <w:r>
              <w:rPr>
                <w:rFonts w:ascii="Aptos" w:hAnsi="Aptos"/>
                <w:b w:val="0"/>
                <w:color w:val="1D2433"/>
                <w:sz w:val="16"/>
              </w:rPr>
              <w:t>SHOULD</w:t>
            </w:r>
          </w:p>
        </w:tc>
        <w:tc>
          <w:tcPr>
            <w:tcW w:type="dxa" w:w="7660"/>
            <w:vAlign w:val="top"/>
            <w:tcMar>
              <w:top w:w="90" w:type="dxa"/>
              <w:start w:w="120" w:type="dxa"/>
              <w:bottom w:w="90" w:type="dxa"/>
              <w:end w:w="120" w:type="dxa"/>
            </w:tcMar>
          </w:tcPr>
          <w:p>
            <w:pPr>
              <w:spacing w:after="0" w:line="250" w:lineRule="auto"/>
            </w:pPr>
            <w:r/>
            <w:r>
              <w:rPr>
                <w:rFonts w:ascii="Aptos" w:hAnsi="Aptos"/>
                <w:b w:val="0"/>
                <w:color w:val="1D2433"/>
                <w:sz w:val="16"/>
              </w:rPr>
              <w:t>Expected unless a documented technical reason proves a safer implementation.</w:t>
            </w:r>
          </w:p>
        </w:tc>
      </w:tr>
      <w:tr>
        <w:tc>
          <w:tcPr>
            <w:tcW w:type="dxa" w:w="1700"/>
            <w:vAlign w:val="top"/>
            <w:shd w:fill="F6F8FB"/>
            <w:tcMar>
              <w:top w:w="90" w:type="dxa"/>
              <w:start w:w="120" w:type="dxa"/>
              <w:bottom w:w="90" w:type="dxa"/>
              <w:end w:w="120" w:type="dxa"/>
            </w:tcMar>
          </w:tcPr>
          <w:p>
            <w:pPr>
              <w:spacing w:after="0" w:line="250" w:lineRule="auto"/>
            </w:pPr>
            <w:r/>
            <w:r>
              <w:rPr>
                <w:rFonts w:ascii="Aptos" w:hAnsi="Aptos"/>
                <w:b w:val="0"/>
                <w:color w:val="1D2433"/>
                <w:sz w:val="16"/>
              </w:rPr>
              <w:t>MAY</w:t>
            </w:r>
          </w:p>
        </w:tc>
        <w:tc>
          <w:tcPr>
            <w:tcW w:type="dxa" w:w="7660"/>
            <w:vAlign w:val="top"/>
            <w:shd w:fill="F6F8FB"/>
            <w:tcMar>
              <w:top w:w="90" w:type="dxa"/>
              <w:start w:w="120" w:type="dxa"/>
              <w:bottom w:w="90" w:type="dxa"/>
              <w:end w:w="120" w:type="dxa"/>
            </w:tcMar>
          </w:tcPr>
          <w:p>
            <w:pPr>
              <w:spacing w:after="0" w:line="250" w:lineRule="auto"/>
            </w:pPr>
            <w:r/>
            <w:r>
              <w:rPr>
                <w:rFonts w:ascii="Aptos" w:hAnsi="Aptos"/>
                <w:b w:val="0"/>
                <w:color w:val="1D2433"/>
                <w:sz w:val="16"/>
              </w:rPr>
              <w:t>Permitted implementation choice that must not weaken mandatory requirements.</w:t>
            </w:r>
          </w:p>
        </w:tc>
      </w:tr>
      <w:tr>
        <w:tc>
          <w:tcPr>
            <w:tcW w:type="dxa" w:w="1700"/>
            <w:vAlign w:val="top"/>
            <w:tcMar>
              <w:top w:w="90" w:type="dxa"/>
              <w:start w:w="120" w:type="dxa"/>
              <w:bottom w:w="90" w:type="dxa"/>
              <w:end w:w="120" w:type="dxa"/>
            </w:tcMar>
          </w:tcPr>
          <w:p>
            <w:pPr>
              <w:spacing w:after="0" w:line="250" w:lineRule="auto"/>
            </w:pPr>
            <w:r/>
            <w:r>
              <w:rPr>
                <w:rFonts w:ascii="Aptos" w:hAnsi="Aptos"/>
                <w:b w:val="0"/>
                <w:color w:val="1D2433"/>
                <w:sz w:val="16"/>
              </w:rPr>
              <w:t>Production-ready</w:t>
            </w:r>
          </w:p>
        </w:tc>
        <w:tc>
          <w:tcPr>
            <w:tcW w:type="dxa" w:w="7660"/>
            <w:vAlign w:val="top"/>
            <w:tcMar>
              <w:top w:w="90" w:type="dxa"/>
              <w:start w:w="120" w:type="dxa"/>
              <w:bottom w:w="90" w:type="dxa"/>
              <w:end w:w="120" w:type="dxa"/>
            </w:tcMar>
          </w:tcPr>
          <w:p>
            <w:pPr>
              <w:spacing w:after="0" w:line="250" w:lineRule="auto"/>
            </w:pPr>
            <w:r/>
            <w:r>
              <w:rPr>
                <w:rFonts w:ascii="Aptos" w:hAnsi="Aptos"/>
                <w:b w:val="0"/>
                <w:color w:val="1D2433"/>
                <w:sz w:val="16"/>
              </w:rPr>
              <w:t>Implemented, migrated, secured, monitored, recoverable, documented and verified against the acceptance criteria.</w:t>
            </w:r>
          </w:p>
        </w:tc>
      </w:tr>
    </w:tbl>
    <w:p>
      <w:pPr>
        <w:spacing w:after="20"/>
      </w:pPr>
    </w:p>
    <w:p>
      <w:pPr>
        <w:pStyle w:val="Heading2"/>
        <w:keepNext/>
      </w:pPr>
      <w:r>
        <w:t>Source hierarchy</w:t>
      </w:r>
    </w:p>
    <w:p>
      <w:pPr>
        <w:pStyle w:val="ListNumber"/>
      </w:pPr>
      <w:r>
        <w:rPr>
          <w:rFonts w:ascii="Aptos" w:hAnsi="Aptos"/>
          <w:b w:val="0"/>
          <w:color w:val="1D2433"/>
          <w:sz w:val="19"/>
        </w:rPr>
        <w:t>This PRD defines product behaviour and acceptance.</w:t>
      </w:r>
    </w:p>
    <w:p>
      <w:pPr>
        <w:pStyle w:val="ListNumber"/>
      </w:pPr>
      <w:r>
        <w:rPr>
          <w:rFonts w:ascii="Aptos" w:hAnsi="Aptos"/>
          <w:b w:val="0"/>
          <w:color w:val="1D2433"/>
          <w:sz w:val="19"/>
        </w:rPr>
        <w:t>The Architecture Pack will define the approved technical implementation while remaining compliant with this PRD.</w:t>
      </w:r>
    </w:p>
    <w:p>
      <w:pPr>
        <w:pStyle w:val="ListNumber"/>
      </w:pPr>
      <w:r>
        <w:rPr>
          <w:rFonts w:ascii="Aptos" w:hAnsi="Aptos"/>
          <w:b w:val="0"/>
          <w:color w:val="1D2433"/>
          <w:sz w:val="19"/>
        </w:rPr>
        <w:t>The Master Build Prompt will orchestrate agent behaviour and enforce both documents.</w:t>
      </w:r>
    </w:p>
    <w:p>
      <w:pPr>
        <w:pStyle w:val="ListNumber"/>
      </w:pPr>
      <w:r>
        <w:rPr>
          <w:rFonts w:ascii="Aptos" w:hAnsi="Aptos"/>
          <w:b w:val="0"/>
          <w:color w:val="1D2433"/>
          <w:sz w:val="19"/>
        </w:rPr>
        <w:t>Executable tests and contracts will prove implementation; tests may clarify but must never silently narrow requirements.</w:t>
      </w:r>
    </w:p>
    <w:p>
      <w:pPr>
        <w:pStyle w:val="ListNumber"/>
      </w:pPr>
      <w:r>
        <w:rPr>
          <w:rFonts w:ascii="Aptos" w:hAnsi="Aptos"/>
          <w:b w:val="0"/>
          <w:color w:val="1D2433"/>
          <w:sz w:val="19"/>
        </w:rPr>
        <w:t>If a contradiction remains, the safer interpretation for customer funds, privacy, security and ledger integrity prevails and must be reported.</w:t>
      </w:r>
    </w:p>
    <w:p>
      <w:pPr>
        <w:pStyle w:val="Heading2"/>
        <w:keepNext/>
      </w:pPr>
      <w:r>
        <w:t>Decisions fixed by this PRD</w:t>
      </w:r>
    </w:p>
    <w:p>
      <w:pPr>
        <w:pStyle w:val="ListBullet"/>
      </w:pPr>
      <w:r>
        <w:rPr>
          <w:rFonts w:ascii="Aptos" w:hAnsi="Aptos"/>
          <w:b w:val="0"/>
          <w:color w:val="1D2433"/>
          <w:sz w:val="19"/>
        </w:rPr>
        <w:t>The product name used in this specification is Quantum Club; naming may be changed globally through configuration without code forks.</w:t>
      </w:r>
    </w:p>
    <w:p>
      <w:pPr>
        <w:pStyle w:val="ListBullet"/>
      </w:pPr>
      <w:r>
        <w:rPr>
          <w:rFonts w:ascii="Aptos" w:hAnsi="Aptos"/>
          <w:b w:val="0"/>
          <w:color w:val="1D2433"/>
          <w:sz w:val="19"/>
        </w:rPr>
        <w:t>The system is owned and controlled by Quantum Park and is not a generic multi-tenant SaaS product for third parties.</w:t>
      </w:r>
    </w:p>
    <w:p>
      <w:pPr>
        <w:pStyle w:val="ListBullet"/>
      </w:pPr>
      <w:r>
        <w:rPr>
          <w:rFonts w:ascii="Aptos" w:hAnsi="Aptos"/>
          <w:b w:val="0"/>
          <w:color w:val="1D2433"/>
          <w:sz w:val="19"/>
        </w:rPr>
        <w:t>It supports all current Quantum Park locations—Lisboa, Almada and Algarve—and future Quantum Park locations through configuration.</w:t>
      </w:r>
    </w:p>
    <w:p>
      <w:pPr>
        <w:pStyle w:val="ListBullet"/>
      </w:pPr>
      <w:r>
        <w:rPr>
          <w:rFonts w:ascii="Aptos" w:hAnsi="Aptos"/>
          <w:b w:val="0"/>
          <w:color w:val="1D2433"/>
          <w:sz w:val="19"/>
        </w:rPr>
        <w:t>The household, not only the individual child, is the primary commercial relationship.</w:t>
      </w:r>
    </w:p>
    <w:p>
      <w:pPr>
        <w:pStyle w:val="ListBullet"/>
      </w:pPr>
      <w:r>
        <w:rPr>
          <w:rFonts w:ascii="Aptos" w:hAnsi="Aptos"/>
          <w:b w:val="0"/>
          <w:color w:val="1D2433"/>
          <w:sz w:val="19"/>
        </w:rPr>
        <w:t>A double-entry-style immutable loyalty ledger is the source of truth for points, credits, entitlements, gift value and redemptions.</w:t>
      </w:r>
    </w:p>
    <w:p>
      <w:pPr>
        <w:pStyle w:val="ListBullet"/>
      </w:pPr>
      <w:r>
        <w:rPr>
          <w:rFonts w:ascii="Aptos" w:hAnsi="Aptos"/>
          <w:b w:val="0"/>
          <w:color w:val="1D2433"/>
          <w:sz w:val="19"/>
        </w:rPr>
        <w:t>The platform is web-first and installable as a PWA; Apple Wallet and Google Wallet passes are first-class distribution surfaces.</w:t>
      </w:r>
    </w:p>
    <w:p>
      <w:pPr>
        <w:pStyle w:val="ListBullet"/>
      </w:pPr>
      <w:r>
        <w:rPr>
          <w:rFonts w:ascii="Aptos" w:hAnsi="Aptos"/>
          <w:b w:val="0"/>
          <w:color w:val="1D2433"/>
          <w:sz w:val="19"/>
        </w:rPr>
        <w:t>European Portuguese is the default language, with English fully supported. The system is translation-ready.</w:t>
      </w:r>
    </w:p>
    <w:p>
      <w:pPr>
        <w:pStyle w:val="ListBullet"/>
      </w:pPr>
      <w:r>
        <w:rPr>
          <w:rFonts w:ascii="Aptos" w:hAnsi="Aptos"/>
          <w:b w:val="0"/>
          <w:color w:val="1D2433"/>
          <w:sz w:val="19"/>
        </w:rPr>
        <w:t>RGPD privacy, child-account safeguards, auditability, recovery and observability are part of the product, not post-launch tasks.</w:t>
      </w:r>
    </w:p>
    <w:p>
      <w:pPr>
        <w:pStyle w:val="Heading1"/>
        <w:keepNext/>
      </w:pPr>
      <w:r>
        <w:t>1. Executive summary</w:t>
      </w:r>
    </w:p>
    <w:p>
      <w:r>
        <w:rPr>
          <w:rFonts w:ascii="Aptos" w:hAnsi="Aptos"/>
          <w:b w:val="0"/>
          <w:i w:val="0"/>
          <w:color w:val="1D2433"/>
          <w:sz w:val="19"/>
        </w:rPr>
        <w:t>Quantum Club is Quantum Park’s proprietary customer identity, loyalty, membership, value, campaign and analytics platform. It will unify the relationship between Quantum Park and the families, children, adults, groups and organisations that visit its parks. Instead of purchasing a generic loyalty-card subscription, Quantum Park will own a system designed specifically for its commercial model: active entertainment, time-based activities, multiple venues, parties, school holidays, camps, food and beverage, vouchers, family decision-making and recurring visits.</w:t>
      </w:r>
    </w:p>
    <w:p>
      <w:r>
        <w:rPr>
          <w:rFonts w:ascii="Aptos" w:hAnsi="Aptos"/>
          <w:b w:val="0"/>
          <w:i w:val="0"/>
          <w:color w:val="1D2433"/>
          <w:sz w:val="19"/>
        </w:rPr>
        <w:t>The platform is not a digital stamp card. It is the customer-retention operating layer for Quantum Park. It must connect customer identity to visits, bookings, spend, activities, locations, household members, communications, consent, rewards and measured commercial outcomes. It must make loyalty effortless for guests and operationally safe for reception, café, party, camp, marketing, finance and management teams.</w:t>
      </w:r>
    </w:p>
    <w:p>
      <w:r>
        <w:rPr>
          <w:rFonts w:ascii="Aptos" w:hAnsi="Aptos"/>
          <w:b w:val="0"/>
          <w:i w:val="0"/>
          <w:color w:val="1D2433"/>
          <w:sz w:val="19"/>
        </w:rPr>
        <w:t>The core customer experience begins with a low-friction registration or booking match. An adult creates or claims a household, adds dependants when needed, accepts age-appropriate terms and obtains a Quantum Club membership card with a rotating QR credential. The card can live inside the Quantum Club PWA, Apple Wallet or Google Wallet. At online booking, reception, point of sale or staff scan, eligible activity is attributed to the correct household and member. The system applies versioned earning rules, posts immutable ledger entries, updates tiers and challenges, and makes eligible rewards available. The customer can see exactly what happened, why it happened, what expires and what they may redeem.</w:t>
      </w:r>
    </w:p>
    <w:p>
      <w:r>
        <w:rPr>
          <w:rFonts w:ascii="Aptos" w:hAnsi="Aptos"/>
          <w:b w:val="0"/>
          <w:i w:val="0"/>
          <w:color w:val="1D2433"/>
          <w:sz w:val="19"/>
        </w:rPr>
        <w:t>For Quantum Park teams, the platform provides distinct operational surfaces. Staff can safely identify a member, attribute or reverse activity, redeem a reward, validate a voucher, check an entitlement and resolve common issues without accessing unnecessary personal data. Managers can configure parks, products, campaigns, reward economics, stock, blackout periods and staff permissions. Marketing can create governed segments and event-driven journeys. Finance can reconcile monetary liabilities, gift values, credits and redemptions. Data-protection personnel can fulfil access, correction, export, objection and erasure requests while retaining legally required financial and security records.</w:t>
      </w:r>
    </w:p>
    <w:p>
      <w:r>
        <w:rPr>
          <w:rFonts w:ascii="Aptos" w:hAnsi="Aptos"/>
          <w:b w:val="0"/>
          <w:i w:val="0"/>
          <w:color w:val="1D2433"/>
          <w:sz w:val="19"/>
        </w:rPr>
        <w:t>Quantum Club will be superior to the Fidelize pattern in five important ways. First, it is native to Quantum Park’s household and child-safety reality instead of modelling every merchant identically. Second, it uses an auditable ledger rather than mutable counters. Third, it treats bookings, visits, parties, camps, food, vouchers, referrals and membership as connected behaviours. Fourth, it measures incrementality and reward liability rather than reporting only card counts and messages sent. Fifth, Quantum Park owns its data model, codebase, operating controls and integration strategy, eliminating white-label ambiguity.</w:t>
      </w:r>
    </w:p>
    <w:p>
      <w:r>
        <w:rPr>
          <w:rFonts w:ascii="Aptos" w:hAnsi="Aptos"/>
          <w:b w:val="0"/>
          <w:i w:val="0"/>
          <w:color w:val="1D2433"/>
          <w:sz w:val="19"/>
        </w:rPr>
        <w:t>The production build must include all required customer, staff and administrative journeys; resilient integration adapters; security controls; consent and preference records; analytics; monitoring; backup and restore; incident response; reconciliation; and automated tests. Operational release can use a controlled cutover, canary traffic and feature flags, but no defined capability is postponed to a later product phase. “One build” means one complete production scope with disciplined verification—not a single unverified code generation pass.</w:t>
      </w:r>
    </w:p>
    <w:p>
      <w:pPr>
        <w:spacing w:before="100" w:after="140" w:line="259" w:lineRule="auto"/>
        <w:ind w:left="160" w:right="160"/>
        <w:shd w:fill="E8EEF5"/>
        <w:pBdr>
          <w:top w:val="single" w:sz="6" w:space="5" w:color="AAB4C3"/>
          <w:left w:val="single" w:sz="6" w:space="5" w:color="AAB4C3"/>
          <w:bottom w:val="single" w:sz="6" w:space="5" w:color="AAB4C3"/>
          <w:right w:val="single" w:sz="6" w:space="5" w:color="AAB4C3"/>
        </w:pBdr>
      </w:pPr>
      <w:r>
        <w:rPr>
          <w:rFonts w:ascii="Aptos" w:hAnsi="Aptos"/>
          <w:b/>
          <w:color w:val="00A6A6"/>
          <w:sz w:val="16"/>
        </w:rPr>
        <w:t xml:space="preserve">PRODUCT OUTCOME  </w:t>
      </w:r>
      <w:r>
        <w:rPr>
          <w:rFonts w:ascii="Aptos" w:hAnsi="Aptos"/>
          <w:b w:val="0"/>
          <w:color w:val="1D2433"/>
          <w:sz w:val="18"/>
        </w:rPr>
        <w:t>Quantum Club should cause more identifiable households to return more often, use more of Quantum Park’s offer, spend responsibly across visits, and choose Quantum Park for birthdays, holidays and family leisure—while giving the business a reliable, consented and measurable first-party customer relationship.</w:t>
      </w:r>
    </w:p>
    <w:p>
      <w:pPr>
        <w:pStyle w:val="Heading2"/>
        <w:keepNext/>
      </w:pPr>
      <w:r>
        <w:t>1.1 Business rationale</w:t>
      </w:r>
    </w:p>
    <w:p>
      <w:r>
        <w:rPr>
          <w:rFonts w:ascii="Aptos" w:hAnsi="Aptos"/>
          <w:b w:val="0"/>
          <w:i w:val="0"/>
          <w:color w:val="1D2433"/>
          <w:sz w:val="19"/>
        </w:rPr>
        <w:t>Quantum Park already operates a naturally recurring leisure business across Lisboa, Almada and Algarve, with activities such as trampolines, climbing, laser tag, Ninja-style challenges, virtual reality and family experiences. It also sells parties, camps, groups, vouchers and food. These products produce multiple reasons to return, but without a unified identity and event model, repeat behaviour is difficult to recognise, reward or influence consistently. Quantum Club turns these disconnected transactions into a durable customer relationship.</w:t>
      </w:r>
    </w:p>
    <w:tbl>
      <w:tblPr>
        <w:tblStyle w:val="TableGrid"/>
        <w:tblW w:type="dxa" w:w="9360"/>
        <w:jc w:val="left"/>
        <w:tblLayout w:type="fixed"/>
        <w:tblLook w:firstColumn="1" w:firstRow="1" w:lastColumn="0" w:lastRow="0" w:noHBand="0" w:noVBand="1" w:val="04A0"/>
        <w:tblInd w:w="120" w:type="dxa"/>
      </w:tblPr>
      <w:tblGrid>
        <w:gridCol w:w="3150"/>
        <w:gridCol w:w="6210"/>
      </w:tblGrid>
      <w:tr>
        <w:trPr>
          <w:tblHeader w:val="true"/>
        </w:trPr>
        <w:tc>
          <w:tcPr>
            <w:tcW w:type="dxa" w:w="3150"/>
            <w:vAlign w:val="center"/>
            <w:shd w:fill="0B2545"/>
            <w:tcMar>
              <w:top w:w="90" w:type="dxa"/>
              <w:start w:w="120" w:type="dxa"/>
              <w:bottom w:w="90" w:type="dxa"/>
              <w:end w:w="120" w:type="dxa"/>
            </w:tcMar>
          </w:tcPr>
          <w:p>
            <w:pPr>
              <w:spacing w:after="0"/>
            </w:pPr>
            <w:r/>
            <w:r>
              <w:rPr>
                <w:rFonts w:ascii="Aptos" w:hAnsi="Aptos"/>
                <w:b/>
                <w:color w:val="FFFFFF"/>
                <w:sz w:val="16"/>
              </w:rPr>
              <w:t>Current limitation</w:t>
            </w:r>
          </w:p>
        </w:tc>
        <w:tc>
          <w:tcPr>
            <w:tcW w:type="dxa" w:w="6210"/>
            <w:shd w:fill="0B2545"/>
            <w:tcMar>
              <w:top w:w="90" w:type="dxa"/>
              <w:start w:w="120" w:type="dxa"/>
              <w:bottom w:w="90" w:type="dxa"/>
              <w:end w:w="120" w:type="dxa"/>
            </w:tcMar>
          </w:tcPr>
          <w:p>
            <w:pPr>
              <w:spacing w:after="0"/>
            </w:pPr>
            <w:r/>
            <w:r>
              <w:rPr>
                <w:rFonts w:ascii="Aptos" w:hAnsi="Aptos"/>
                <w:b/>
                <w:color w:val="FFFFFF"/>
                <w:sz w:val="16"/>
              </w:rPr>
              <w:t>Quantum Club response</w:t>
            </w:r>
          </w:p>
        </w:tc>
      </w:tr>
      <w:tr>
        <w:tc>
          <w:tcPr>
            <w:tcW w:type="dxa" w:w="3150"/>
            <w:vAlign w:val="top"/>
            <w:tcMar>
              <w:top w:w="90" w:type="dxa"/>
              <w:start w:w="120" w:type="dxa"/>
              <w:bottom w:w="90" w:type="dxa"/>
              <w:end w:w="120" w:type="dxa"/>
            </w:tcMar>
          </w:tcPr>
          <w:p>
            <w:pPr>
              <w:spacing w:after="0" w:line="250" w:lineRule="auto"/>
            </w:pPr>
            <w:r/>
            <w:r>
              <w:rPr>
                <w:rFonts w:ascii="Aptos" w:hAnsi="Aptos"/>
                <w:b w:val="0"/>
                <w:color w:val="1D2433"/>
                <w:sz w:val="16"/>
              </w:rPr>
              <w:t>Bookings and walk-ins can represent the same household differently.</w:t>
            </w:r>
          </w:p>
        </w:tc>
        <w:tc>
          <w:tcPr>
            <w:tcW w:type="dxa" w:w="6210"/>
            <w:vAlign w:val="top"/>
            <w:tcMar>
              <w:top w:w="90" w:type="dxa"/>
              <w:start w:w="120" w:type="dxa"/>
              <w:bottom w:w="90" w:type="dxa"/>
              <w:end w:w="120" w:type="dxa"/>
            </w:tcMar>
          </w:tcPr>
          <w:p>
            <w:pPr>
              <w:spacing w:after="0" w:line="250" w:lineRule="auto"/>
            </w:pPr>
            <w:r/>
            <w:r>
              <w:rPr>
                <w:rFonts w:ascii="Aptos" w:hAnsi="Aptos"/>
                <w:b w:val="0"/>
                <w:color w:val="1D2433"/>
                <w:sz w:val="16"/>
              </w:rPr>
              <w:t>Identity resolution, verified contact methods and deterministic household linking.</w:t>
            </w:r>
          </w:p>
        </w:tc>
      </w:tr>
      <w:tr>
        <w:tc>
          <w:tcPr>
            <w:tcW w:type="dxa" w:w="3150"/>
            <w:vAlign w:val="top"/>
            <w:shd w:fill="F6F8FB"/>
            <w:tcMar>
              <w:top w:w="90" w:type="dxa"/>
              <w:start w:w="120" w:type="dxa"/>
              <w:bottom w:w="90" w:type="dxa"/>
              <w:end w:w="120" w:type="dxa"/>
            </w:tcMar>
          </w:tcPr>
          <w:p>
            <w:pPr>
              <w:spacing w:after="0" w:line="250" w:lineRule="auto"/>
            </w:pPr>
            <w:r/>
            <w:r>
              <w:rPr>
                <w:rFonts w:ascii="Aptos" w:hAnsi="Aptos"/>
                <w:b w:val="0"/>
                <w:color w:val="1D2433"/>
                <w:sz w:val="16"/>
              </w:rPr>
              <w:t>Children participate, while adults typically book and pay.</w:t>
            </w:r>
          </w:p>
        </w:tc>
        <w:tc>
          <w:tcPr>
            <w:tcW w:type="dxa" w:w="6210"/>
            <w:vAlign w:val="top"/>
            <w:shd w:fill="F6F8FB"/>
            <w:tcMar>
              <w:top w:w="90" w:type="dxa"/>
              <w:start w:w="120" w:type="dxa"/>
              <w:bottom w:w="90" w:type="dxa"/>
              <w:end w:w="120" w:type="dxa"/>
            </w:tcMar>
          </w:tcPr>
          <w:p>
            <w:pPr>
              <w:spacing w:after="0" w:line="250" w:lineRule="auto"/>
            </w:pPr>
            <w:r/>
            <w:r>
              <w:rPr>
                <w:rFonts w:ascii="Aptos" w:hAnsi="Aptos"/>
                <w:b w:val="0"/>
                <w:color w:val="1D2433"/>
                <w:sz w:val="16"/>
              </w:rPr>
              <w:t>Adult account owner with controlled dependant profiles and activity attribution.</w:t>
            </w:r>
          </w:p>
        </w:tc>
      </w:tr>
      <w:tr>
        <w:tc>
          <w:tcPr>
            <w:tcW w:type="dxa" w:w="3150"/>
            <w:vAlign w:val="top"/>
            <w:tcMar>
              <w:top w:w="90" w:type="dxa"/>
              <w:start w:w="120" w:type="dxa"/>
              <w:bottom w:w="90" w:type="dxa"/>
              <w:end w:w="120" w:type="dxa"/>
            </w:tcMar>
          </w:tcPr>
          <w:p>
            <w:pPr>
              <w:spacing w:after="0" w:line="250" w:lineRule="auto"/>
            </w:pPr>
            <w:r/>
            <w:r>
              <w:rPr>
                <w:rFonts w:ascii="Aptos" w:hAnsi="Aptos"/>
                <w:b w:val="0"/>
                <w:color w:val="1D2433"/>
                <w:sz w:val="16"/>
              </w:rPr>
              <w:t>Promotions may create discount dependence without proving repeat impact.</w:t>
            </w:r>
          </w:p>
        </w:tc>
        <w:tc>
          <w:tcPr>
            <w:tcW w:type="dxa" w:w="6210"/>
            <w:vAlign w:val="top"/>
            <w:tcMar>
              <w:top w:w="90" w:type="dxa"/>
              <w:start w:w="120" w:type="dxa"/>
              <w:bottom w:w="90" w:type="dxa"/>
              <w:end w:w="120" w:type="dxa"/>
            </w:tcMar>
          </w:tcPr>
          <w:p>
            <w:pPr>
              <w:spacing w:after="0" w:line="250" w:lineRule="auto"/>
            </w:pPr>
            <w:r/>
            <w:r>
              <w:rPr>
                <w:rFonts w:ascii="Aptos" w:hAnsi="Aptos"/>
                <w:b w:val="0"/>
                <w:color w:val="1D2433"/>
                <w:sz w:val="16"/>
              </w:rPr>
              <w:t>Holdouts, attribution windows, margin-aware reward rules and incremental reporting.</w:t>
            </w:r>
          </w:p>
        </w:tc>
      </w:tr>
      <w:tr>
        <w:tc>
          <w:tcPr>
            <w:tcW w:type="dxa" w:w="3150"/>
            <w:vAlign w:val="top"/>
            <w:shd w:fill="F6F8FB"/>
            <w:tcMar>
              <w:top w:w="90" w:type="dxa"/>
              <w:start w:w="120" w:type="dxa"/>
              <w:bottom w:w="90" w:type="dxa"/>
              <w:end w:w="120" w:type="dxa"/>
            </w:tcMar>
          </w:tcPr>
          <w:p>
            <w:pPr>
              <w:spacing w:after="0" w:line="250" w:lineRule="auto"/>
            </w:pPr>
            <w:r/>
            <w:r>
              <w:rPr>
                <w:rFonts w:ascii="Aptos" w:hAnsi="Aptos"/>
                <w:b w:val="0"/>
                <w:color w:val="1D2433"/>
                <w:sz w:val="16"/>
              </w:rPr>
              <w:t>Different parks and activities need different economics.</w:t>
            </w:r>
          </w:p>
        </w:tc>
        <w:tc>
          <w:tcPr>
            <w:tcW w:type="dxa" w:w="6210"/>
            <w:vAlign w:val="top"/>
            <w:shd w:fill="F6F8FB"/>
            <w:tcMar>
              <w:top w:w="90" w:type="dxa"/>
              <w:start w:w="120" w:type="dxa"/>
              <w:bottom w:w="90" w:type="dxa"/>
              <w:end w:w="120" w:type="dxa"/>
            </w:tcMar>
          </w:tcPr>
          <w:p>
            <w:pPr>
              <w:spacing w:after="0" w:line="250" w:lineRule="auto"/>
            </w:pPr>
            <w:r/>
            <w:r>
              <w:rPr>
                <w:rFonts w:ascii="Aptos" w:hAnsi="Aptos"/>
                <w:b w:val="0"/>
                <w:color w:val="1D2433"/>
                <w:sz w:val="16"/>
              </w:rPr>
              <w:t>Configurable, versioned rules scoped by park, product, channel, audience and time.</w:t>
            </w:r>
          </w:p>
        </w:tc>
      </w:tr>
      <w:tr>
        <w:tc>
          <w:tcPr>
            <w:tcW w:type="dxa" w:w="3150"/>
            <w:vAlign w:val="top"/>
            <w:tcMar>
              <w:top w:w="90" w:type="dxa"/>
              <w:start w:w="120" w:type="dxa"/>
              <w:bottom w:w="90" w:type="dxa"/>
              <w:end w:w="120" w:type="dxa"/>
            </w:tcMar>
          </w:tcPr>
          <w:p>
            <w:pPr>
              <w:spacing w:after="0" w:line="250" w:lineRule="auto"/>
            </w:pPr>
            <w:r/>
            <w:r>
              <w:rPr>
                <w:rFonts w:ascii="Aptos" w:hAnsi="Aptos"/>
                <w:b w:val="0"/>
                <w:color w:val="1D2433"/>
                <w:sz w:val="16"/>
              </w:rPr>
              <w:t>Staff need speed, but broad access creates privacy and fraud risk.</w:t>
            </w:r>
          </w:p>
        </w:tc>
        <w:tc>
          <w:tcPr>
            <w:tcW w:type="dxa" w:w="6210"/>
            <w:vAlign w:val="top"/>
            <w:tcMar>
              <w:top w:w="90" w:type="dxa"/>
              <w:start w:w="120" w:type="dxa"/>
              <w:bottom w:w="90" w:type="dxa"/>
              <w:end w:w="120" w:type="dxa"/>
            </w:tcMar>
          </w:tcPr>
          <w:p>
            <w:pPr>
              <w:spacing w:after="0" w:line="250" w:lineRule="auto"/>
            </w:pPr>
            <w:r/>
            <w:r>
              <w:rPr>
                <w:rFonts w:ascii="Aptos" w:hAnsi="Aptos"/>
                <w:b w:val="0"/>
                <w:color w:val="1D2433"/>
                <w:sz w:val="16"/>
              </w:rPr>
              <w:t>Purpose-built scanner UI, least privilege, device trust and auditable overrides.</w:t>
            </w:r>
          </w:p>
        </w:tc>
      </w:tr>
      <w:tr>
        <w:tc>
          <w:tcPr>
            <w:tcW w:type="dxa" w:w="3150"/>
            <w:vAlign w:val="top"/>
            <w:shd w:fill="F6F8FB"/>
            <w:tcMar>
              <w:top w:w="90" w:type="dxa"/>
              <w:start w:w="120" w:type="dxa"/>
              <w:bottom w:w="90" w:type="dxa"/>
              <w:end w:w="120" w:type="dxa"/>
            </w:tcMar>
          </w:tcPr>
          <w:p>
            <w:pPr>
              <w:spacing w:after="0" w:line="250" w:lineRule="auto"/>
            </w:pPr>
            <w:r/>
            <w:r>
              <w:rPr>
                <w:rFonts w:ascii="Aptos" w:hAnsi="Aptos"/>
                <w:b w:val="0"/>
                <w:color w:val="1D2433"/>
                <w:sz w:val="16"/>
              </w:rPr>
              <w:t>Generic loyalty tools obscure platform dependency and data location.</w:t>
            </w:r>
          </w:p>
        </w:tc>
        <w:tc>
          <w:tcPr>
            <w:tcW w:type="dxa" w:w="6210"/>
            <w:vAlign w:val="top"/>
            <w:shd w:fill="F6F8FB"/>
            <w:tcMar>
              <w:top w:w="90" w:type="dxa"/>
              <w:start w:w="120" w:type="dxa"/>
              <w:bottom w:w="90" w:type="dxa"/>
              <w:end w:w="120" w:type="dxa"/>
            </w:tcMar>
          </w:tcPr>
          <w:p>
            <w:pPr>
              <w:spacing w:after="0" w:line="250" w:lineRule="auto"/>
            </w:pPr>
            <w:r/>
            <w:r>
              <w:rPr>
                <w:rFonts w:ascii="Aptos" w:hAnsi="Aptos"/>
                <w:b w:val="0"/>
                <w:color w:val="1D2433"/>
                <w:sz w:val="16"/>
              </w:rPr>
              <w:t>Quantum-controlled code, contracts, deployment, data exports and disaster recovery.</w:t>
            </w:r>
          </w:p>
        </w:tc>
      </w:tr>
    </w:tbl>
    <w:p>
      <w:pPr>
        <w:spacing w:after="20"/>
      </w:pPr>
    </w:p>
    <w:p>
      <w:pPr>
        <w:pStyle w:val="Heading2"/>
        <w:keepNext/>
      </w:pPr>
      <w:r>
        <w:t>1.2 Complete product promise</w:t>
      </w:r>
    </w:p>
    <w:p>
      <w:pPr>
        <w:pStyle w:val="ListBullet"/>
      </w:pPr>
      <w:r>
        <w:rPr>
          <w:rFonts w:ascii="Aptos" w:hAnsi="Aptos"/>
          <w:b w:val="0"/>
          <w:color w:val="1D2433"/>
          <w:sz w:val="19"/>
        </w:rPr>
        <w:t>One trusted Quantum identity for a household and its authorised members.</w:t>
      </w:r>
    </w:p>
    <w:p>
      <w:pPr>
        <w:pStyle w:val="ListBullet"/>
      </w:pPr>
      <w:r>
        <w:rPr>
          <w:rFonts w:ascii="Aptos" w:hAnsi="Aptos"/>
          <w:b w:val="0"/>
          <w:color w:val="1D2433"/>
          <w:sz w:val="19"/>
        </w:rPr>
        <w:t>One wallet for points, rewards, vouchers, gift value, passes and memberships—with separate ledgers and accounting semantics.</w:t>
      </w:r>
    </w:p>
    <w:p>
      <w:pPr>
        <w:pStyle w:val="ListBullet"/>
      </w:pPr>
      <w:r>
        <w:rPr>
          <w:rFonts w:ascii="Aptos" w:hAnsi="Aptos"/>
          <w:b w:val="0"/>
          <w:color w:val="1D2433"/>
          <w:sz w:val="19"/>
        </w:rPr>
        <w:t>One view of activity across parks, products and channels.</w:t>
      </w:r>
    </w:p>
    <w:p>
      <w:pPr>
        <w:pStyle w:val="ListBullet"/>
      </w:pPr>
      <w:r>
        <w:rPr>
          <w:rFonts w:ascii="Aptos" w:hAnsi="Aptos"/>
          <w:b w:val="0"/>
          <w:color w:val="1D2433"/>
          <w:sz w:val="19"/>
        </w:rPr>
        <w:t>One governed campaign and preference centre across email, SMS, WhatsApp, wallet and web push.</w:t>
      </w:r>
    </w:p>
    <w:p>
      <w:pPr>
        <w:pStyle w:val="ListBullet"/>
      </w:pPr>
      <w:r>
        <w:rPr>
          <w:rFonts w:ascii="Aptos" w:hAnsi="Aptos"/>
          <w:b w:val="0"/>
          <w:color w:val="1D2433"/>
          <w:sz w:val="19"/>
        </w:rPr>
        <w:t>One operational truth for redemption, entitlement, fraud controls and financial reconciliation.</w:t>
      </w:r>
    </w:p>
    <w:p>
      <w:pPr>
        <w:pStyle w:val="ListBullet"/>
      </w:pPr>
      <w:r>
        <w:rPr>
          <w:rFonts w:ascii="Aptos" w:hAnsi="Aptos"/>
          <w:b w:val="0"/>
          <w:color w:val="1D2433"/>
          <w:sz w:val="19"/>
        </w:rPr>
        <w:t>One analytics layer that connects loyalty activity to visits, revenue, margin and retention.</w:t>
      </w:r>
    </w:p>
    <w:p>
      <w:pPr>
        <w:pStyle w:val="Heading2"/>
        <w:keepNext/>
      </w:pPr>
      <w:r>
        <w:t>1.3 Product principles</w:t>
      </w:r>
    </w:p>
    <w:tbl>
      <w:tblPr>
        <w:tblStyle w:val="TableGrid"/>
        <w:tblW w:type="dxa" w:w="9360"/>
        <w:jc w:val="left"/>
        <w:tblLayout w:type="fixed"/>
        <w:tblLook w:firstColumn="1" w:firstRow="1" w:lastColumn="0" w:lastRow="0" w:noHBand="0" w:noVBand="1" w:val="04A0"/>
        <w:tblInd w:w="120" w:type="dxa"/>
      </w:tblPr>
      <w:tblGrid>
        <w:gridCol w:w="2050"/>
        <w:gridCol w:w="7310"/>
      </w:tblGrid>
      <w:tr>
        <w:trPr>
          <w:tblHeader w:val="true"/>
        </w:trPr>
        <w:tc>
          <w:tcPr>
            <w:tcW w:type="dxa" w:w="2050"/>
            <w:vAlign w:val="center"/>
            <w:shd w:fill="0B2545"/>
            <w:tcMar>
              <w:top w:w="90" w:type="dxa"/>
              <w:start w:w="120" w:type="dxa"/>
              <w:bottom w:w="90" w:type="dxa"/>
              <w:end w:w="120" w:type="dxa"/>
            </w:tcMar>
          </w:tcPr>
          <w:p>
            <w:pPr>
              <w:spacing w:after="0"/>
            </w:pPr>
            <w:r/>
            <w:r>
              <w:rPr>
                <w:rFonts w:ascii="Aptos" w:hAnsi="Aptos"/>
                <w:b/>
                <w:color w:val="FFFFFF"/>
                <w:sz w:val="16"/>
              </w:rPr>
              <w:t>Principle</w:t>
            </w:r>
          </w:p>
        </w:tc>
        <w:tc>
          <w:tcPr>
            <w:tcW w:type="dxa" w:w="7310"/>
            <w:shd w:fill="0B2545"/>
            <w:tcMar>
              <w:top w:w="90" w:type="dxa"/>
              <w:start w:w="120" w:type="dxa"/>
              <w:bottom w:w="90" w:type="dxa"/>
              <w:end w:w="120" w:type="dxa"/>
            </w:tcMar>
          </w:tcPr>
          <w:p>
            <w:pPr>
              <w:spacing w:after="0"/>
            </w:pPr>
            <w:r/>
            <w:r>
              <w:rPr>
                <w:rFonts w:ascii="Aptos" w:hAnsi="Aptos"/>
                <w:b/>
                <w:color w:val="FFFFFF"/>
                <w:sz w:val="16"/>
              </w:rPr>
              <w:t>Required interpretation</w:t>
            </w:r>
          </w:p>
        </w:tc>
      </w:tr>
      <w:tr>
        <w:tc>
          <w:tcPr>
            <w:tcW w:type="dxa" w:w="2050"/>
            <w:vAlign w:val="top"/>
            <w:tcMar>
              <w:top w:w="90" w:type="dxa"/>
              <w:start w:w="120" w:type="dxa"/>
              <w:bottom w:w="90" w:type="dxa"/>
              <w:end w:w="120" w:type="dxa"/>
            </w:tcMar>
          </w:tcPr>
          <w:p>
            <w:pPr>
              <w:spacing w:after="0" w:line="250" w:lineRule="auto"/>
            </w:pPr>
            <w:r/>
            <w:r>
              <w:rPr>
                <w:rFonts w:ascii="Aptos" w:hAnsi="Aptos"/>
                <w:b w:val="0"/>
                <w:color w:val="1D2433"/>
                <w:sz w:val="16"/>
              </w:rPr>
              <w:t>Household-first</w:t>
            </w:r>
          </w:p>
        </w:tc>
        <w:tc>
          <w:tcPr>
            <w:tcW w:type="dxa" w:w="7310"/>
            <w:vAlign w:val="top"/>
            <w:tcMar>
              <w:top w:w="90" w:type="dxa"/>
              <w:start w:w="120" w:type="dxa"/>
              <w:bottom w:w="90" w:type="dxa"/>
              <w:end w:w="120" w:type="dxa"/>
            </w:tcMar>
          </w:tcPr>
          <w:p>
            <w:pPr>
              <w:spacing w:after="0" w:line="250" w:lineRule="auto"/>
            </w:pPr>
            <w:r/>
            <w:r>
              <w:rPr>
                <w:rFonts w:ascii="Aptos" w:hAnsi="Aptos"/>
                <w:b w:val="0"/>
                <w:color w:val="1D2433"/>
                <w:sz w:val="16"/>
              </w:rPr>
              <w:t>Model the adult decision-maker, dependants and permissions without treating children as independent marketing targets.</w:t>
            </w:r>
          </w:p>
        </w:tc>
      </w:tr>
      <w:tr>
        <w:tc>
          <w:tcPr>
            <w:tcW w:type="dxa" w:w="2050"/>
            <w:vAlign w:val="top"/>
            <w:shd w:fill="F6F8FB"/>
            <w:tcMar>
              <w:top w:w="90" w:type="dxa"/>
              <w:start w:w="120" w:type="dxa"/>
              <w:bottom w:w="90" w:type="dxa"/>
              <w:end w:w="120" w:type="dxa"/>
            </w:tcMar>
          </w:tcPr>
          <w:p>
            <w:pPr>
              <w:spacing w:after="0" w:line="250" w:lineRule="auto"/>
            </w:pPr>
            <w:r/>
            <w:r>
              <w:rPr>
                <w:rFonts w:ascii="Aptos" w:hAnsi="Aptos"/>
                <w:b w:val="0"/>
                <w:color w:val="1D2433"/>
                <w:sz w:val="16"/>
              </w:rPr>
              <w:t>Ledger, not counter</w:t>
            </w:r>
          </w:p>
        </w:tc>
        <w:tc>
          <w:tcPr>
            <w:tcW w:type="dxa" w:w="7310"/>
            <w:vAlign w:val="top"/>
            <w:shd w:fill="F6F8FB"/>
            <w:tcMar>
              <w:top w:w="90" w:type="dxa"/>
              <w:start w:w="120" w:type="dxa"/>
              <w:bottom w:w="90" w:type="dxa"/>
              <w:end w:w="120" w:type="dxa"/>
            </w:tcMar>
          </w:tcPr>
          <w:p>
            <w:pPr>
              <w:spacing w:after="0" w:line="250" w:lineRule="auto"/>
            </w:pPr>
            <w:r/>
            <w:r>
              <w:rPr>
                <w:rFonts w:ascii="Aptos" w:hAnsi="Aptos"/>
                <w:b w:val="0"/>
                <w:color w:val="1D2433"/>
                <w:sz w:val="16"/>
              </w:rPr>
              <w:t>All value-changing actions produce immutable entries with reason, actor, source and correlation identifiers.</w:t>
            </w:r>
          </w:p>
        </w:tc>
      </w:tr>
      <w:tr>
        <w:tc>
          <w:tcPr>
            <w:tcW w:type="dxa" w:w="2050"/>
            <w:vAlign w:val="top"/>
            <w:tcMar>
              <w:top w:w="90" w:type="dxa"/>
              <w:start w:w="120" w:type="dxa"/>
              <w:bottom w:w="90" w:type="dxa"/>
              <w:end w:w="120" w:type="dxa"/>
            </w:tcMar>
          </w:tcPr>
          <w:p>
            <w:pPr>
              <w:spacing w:after="0" w:line="250" w:lineRule="auto"/>
            </w:pPr>
            <w:r/>
            <w:r>
              <w:rPr>
                <w:rFonts w:ascii="Aptos" w:hAnsi="Aptos"/>
                <w:b w:val="0"/>
                <w:color w:val="1D2433"/>
                <w:sz w:val="16"/>
              </w:rPr>
              <w:t>Explain every outcome</w:t>
            </w:r>
          </w:p>
        </w:tc>
        <w:tc>
          <w:tcPr>
            <w:tcW w:type="dxa" w:w="7310"/>
            <w:vAlign w:val="top"/>
            <w:tcMar>
              <w:top w:w="90" w:type="dxa"/>
              <w:start w:w="120" w:type="dxa"/>
              <w:bottom w:w="90" w:type="dxa"/>
              <w:end w:w="120" w:type="dxa"/>
            </w:tcMar>
          </w:tcPr>
          <w:p>
            <w:pPr>
              <w:spacing w:after="0" w:line="250" w:lineRule="auto"/>
            </w:pPr>
            <w:r/>
            <w:r>
              <w:rPr>
                <w:rFonts w:ascii="Aptos" w:hAnsi="Aptos"/>
                <w:b w:val="0"/>
                <w:color w:val="1D2433"/>
                <w:sz w:val="16"/>
              </w:rPr>
              <w:t>Customers and staff can see why points or entitlements changed and which rule applied.</w:t>
            </w:r>
          </w:p>
        </w:tc>
      </w:tr>
      <w:tr>
        <w:tc>
          <w:tcPr>
            <w:tcW w:type="dxa" w:w="2050"/>
            <w:vAlign w:val="top"/>
            <w:shd w:fill="F6F8FB"/>
            <w:tcMar>
              <w:top w:w="90" w:type="dxa"/>
              <w:start w:w="120" w:type="dxa"/>
              <w:bottom w:w="90" w:type="dxa"/>
              <w:end w:w="120" w:type="dxa"/>
            </w:tcMar>
          </w:tcPr>
          <w:p>
            <w:pPr>
              <w:spacing w:after="0" w:line="250" w:lineRule="auto"/>
            </w:pPr>
            <w:r/>
            <w:r>
              <w:rPr>
                <w:rFonts w:ascii="Aptos" w:hAnsi="Aptos"/>
                <w:b w:val="0"/>
                <w:color w:val="1D2433"/>
                <w:sz w:val="16"/>
              </w:rPr>
              <w:t>Configuration over forks</w:t>
            </w:r>
          </w:p>
        </w:tc>
        <w:tc>
          <w:tcPr>
            <w:tcW w:type="dxa" w:w="7310"/>
            <w:vAlign w:val="top"/>
            <w:shd w:fill="F6F8FB"/>
            <w:tcMar>
              <w:top w:w="90" w:type="dxa"/>
              <w:start w:w="120" w:type="dxa"/>
              <w:bottom w:w="90" w:type="dxa"/>
              <w:end w:w="120" w:type="dxa"/>
            </w:tcMar>
          </w:tcPr>
          <w:p>
            <w:pPr>
              <w:spacing w:after="0" w:line="250" w:lineRule="auto"/>
            </w:pPr>
            <w:r/>
            <w:r>
              <w:rPr>
                <w:rFonts w:ascii="Aptos" w:hAnsi="Aptos"/>
                <w:b w:val="0"/>
                <w:color w:val="1D2433"/>
                <w:sz w:val="16"/>
              </w:rPr>
              <w:t>Parks, activities, campaigns, languages and policies are data/configuration, not duplicated code.</w:t>
            </w:r>
          </w:p>
        </w:tc>
      </w:tr>
      <w:tr>
        <w:tc>
          <w:tcPr>
            <w:tcW w:type="dxa" w:w="2050"/>
            <w:vAlign w:val="top"/>
            <w:tcMar>
              <w:top w:w="90" w:type="dxa"/>
              <w:start w:w="120" w:type="dxa"/>
              <w:bottom w:w="90" w:type="dxa"/>
              <w:end w:w="120" w:type="dxa"/>
            </w:tcMar>
          </w:tcPr>
          <w:p>
            <w:pPr>
              <w:spacing w:after="0" w:line="250" w:lineRule="auto"/>
            </w:pPr>
            <w:r/>
            <w:r>
              <w:rPr>
                <w:rFonts w:ascii="Aptos" w:hAnsi="Aptos"/>
                <w:b w:val="0"/>
                <w:color w:val="1D2433"/>
                <w:sz w:val="16"/>
              </w:rPr>
              <w:t>Safe by default</w:t>
            </w:r>
          </w:p>
        </w:tc>
        <w:tc>
          <w:tcPr>
            <w:tcW w:type="dxa" w:w="7310"/>
            <w:vAlign w:val="top"/>
            <w:tcMar>
              <w:top w:w="90" w:type="dxa"/>
              <w:start w:w="120" w:type="dxa"/>
              <w:bottom w:w="90" w:type="dxa"/>
              <w:end w:w="120" w:type="dxa"/>
            </w:tcMar>
          </w:tcPr>
          <w:p>
            <w:pPr>
              <w:spacing w:after="0" w:line="250" w:lineRule="auto"/>
            </w:pPr>
            <w:r/>
            <w:r>
              <w:rPr>
                <w:rFonts w:ascii="Aptos" w:hAnsi="Aptos"/>
                <w:b w:val="0"/>
                <w:color w:val="1D2433"/>
                <w:sz w:val="16"/>
              </w:rPr>
              <w:t>No broad staff access, silent consent, unbounded messaging, reusable QR secret or direct balance editing.</w:t>
            </w:r>
          </w:p>
        </w:tc>
      </w:tr>
      <w:tr>
        <w:tc>
          <w:tcPr>
            <w:tcW w:type="dxa" w:w="2050"/>
            <w:vAlign w:val="top"/>
            <w:shd w:fill="F6F8FB"/>
            <w:tcMar>
              <w:top w:w="90" w:type="dxa"/>
              <w:start w:w="120" w:type="dxa"/>
              <w:bottom w:w="90" w:type="dxa"/>
              <w:end w:w="120" w:type="dxa"/>
            </w:tcMar>
          </w:tcPr>
          <w:p>
            <w:pPr>
              <w:spacing w:after="0" w:line="250" w:lineRule="auto"/>
            </w:pPr>
            <w:r/>
            <w:r>
              <w:rPr>
                <w:rFonts w:ascii="Aptos" w:hAnsi="Aptos"/>
                <w:b w:val="0"/>
                <w:color w:val="1D2433"/>
                <w:sz w:val="16"/>
              </w:rPr>
              <w:t>Measure incrementality</w:t>
            </w:r>
          </w:p>
        </w:tc>
        <w:tc>
          <w:tcPr>
            <w:tcW w:type="dxa" w:w="7310"/>
            <w:vAlign w:val="top"/>
            <w:shd w:fill="F6F8FB"/>
            <w:tcMar>
              <w:top w:w="90" w:type="dxa"/>
              <w:start w:w="120" w:type="dxa"/>
              <w:bottom w:w="90" w:type="dxa"/>
              <w:end w:w="120" w:type="dxa"/>
            </w:tcMar>
          </w:tcPr>
          <w:p>
            <w:pPr>
              <w:spacing w:after="0" w:line="250" w:lineRule="auto"/>
            </w:pPr>
            <w:r/>
            <w:r>
              <w:rPr>
                <w:rFonts w:ascii="Aptos" w:hAnsi="Aptos"/>
                <w:b w:val="0"/>
                <w:color w:val="1D2433"/>
                <w:sz w:val="16"/>
              </w:rPr>
              <w:t>Distinguish attributed activity from activity that would likely have occurred anyway.</w:t>
            </w:r>
          </w:p>
        </w:tc>
      </w:tr>
      <w:tr>
        <w:tc>
          <w:tcPr>
            <w:tcW w:type="dxa" w:w="2050"/>
            <w:vAlign w:val="top"/>
            <w:tcMar>
              <w:top w:w="90" w:type="dxa"/>
              <w:start w:w="120" w:type="dxa"/>
              <w:bottom w:w="90" w:type="dxa"/>
              <w:end w:w="120" w:type="dxa"/>
            </w:tcMar>
          </w:tcPr>
          <w:p>
            <w:pPr>
              <w:spacing w:after="0" w:line="250" w:lineRule="auto"/>
            </w:pPr>
            <w:r/>
            <w:r>
              <w:rPr>
                <w:rFonts w:ascii="Aptos" w:hAnsi="Aptos"/>
                <w:b w:val="0"/>
                <w:color w:val="1D2433"/>
                <w:sz w:val="16"/>
              </w:rPr>
              <w:t>Graceful integration failure</w:t>
            </w:r>
          </w:p>
        </w:tc>
        <w:tc>
          <w:tcPr>
            <w:tcW w:type="dxa" w:w="7310"/>
            <w:vAlign w:val="top"/>
            <w:tcMar>
              <w:top w:w="90" w:type="dxa"/>
              <w:start w:w="120" w:type="dxa"/>
              <w:bottom w:w="90" w:type="dxa"/>
              <w:end w:w="120" w:type="dxa"/>
            </w:tcMar>
          </w:tcPr>
          <w:p>
            <w:pPr>
              <w:spacing w:after="0" w:line="250" w:lineRule="auto"/>
            </w:pPr>
            <w:r/>
            <w:r>
              <w:rPr>
                <w:rFonts w:ascii="Aptos" w:hAnsi="Aptos"/>
                <w:b w:val="0"/>
                <w:color w:val="1D2433"/>
                <w:sz w:val="16"/>
              </w:rPr>
              <w:t>Queue, reconcile and surface uncertainty; never lose, duplicate or fabricate value.</w:t>
            </w:r>
          </w:p>
        </w:tc>
      </w:tr>
      <w:tr>
        <w:tc>
          <w:tcPr>
            <w:tcW w:type="dxa" w:w="2050"/>
            <w:vAlign w:val="top"/>
            <w:shd w:fill="F6F8FB"/>
            <w:tcMar>
              <w:top w:w="90" w:type="dxa"/>
              <w:start w:w="120" w:type="dxa"/>
              <w:bottom w:w="90" w:type="dxa"/>
              <w:end w:w="120" w:type="dxa"/>
            </w:tcMar>
          </w:tcPr>
          <w:p>
            <w:pPr>
              <w:spacing w:after="0" w:line="250" w:lineRule="auto"/>
            </w:pPr>
            <w:r/>
            <w:r>
              <w:rPr>
                <w:rFonts w:ascii="Aptos" w:hAnsi="Aptos"/>
                <w:b w:val="0"/>
                <w:color w:val="1D2433"/>
                <w:sz w:val="16"/>
              </w:rPr>
              <w:t>Operational clarity</w:t>
            </w:r>
          </w:p>
        </w:tc>
        <w:tc>
          <w:tcPr>
            <w:tcW w:type="dxa" w:w="7310"/>
            <w:vAlign w:val="top"/>
            <w:shd w:fill="F6F8FB"/>
            <w:tcMar>
              <w:top w:w="90" w:type="dxa"/>
              <w:start w:w="120" w:type="dxa"/>
              <w:bottom w:w="90" w:type="dxa"/>
              <w:end w:w="120" w:type="dxa"/>
            </w:tcMar>
          </w:tcPr>
          <w:p>
            <w:pPr>
              <w:spacing w:after="0" w:line="250" w:lineRule="auto"/>
            </w:pPr>
            <w:r/>
            <w:r>
              <w:rPr>
                <w:rFonts w:ascii="Aptos" w:hAnsi="Aptos"/>
                <w:b w:val="0"/>
                <w:color w:val="1D2433"/>
                <w:sz w:val="16"/>
              </w:rPr>
              <w:t>Every failed event, redemption dispute and balance correction has an owner and a repair path.</w:t>
            </w:r>
          </w:p>
        </w:tc>
      </w:tr>
    </w:tbl>
    <w:p>
      <w:pPr>
        <w:spacing w:after="20"/>
      </w:pPr>
    </w:p>
    <w:p>
      <w:pPr>
        <w:pStyle w:val="Heading1"/>
        <w:keepNext/>
      </w:pPr>
      <w:r>
        <w:t>2. Product context and benchmark</w:t>
      </w:r>
    </w:p>
    <w:p>
      <w:pPr>
        <w:pStyle w:val="Heading2"/>
        <w:keepNext/>
      </w:pPr>
      <w:r>
        <w:t>2.1 Quantum Park context</w:t>
      </w:r>
    </w:p>
    <w:p>
      <w:r>
        <w:rPr>
          <w:rFonts w:ascii="Aptos" w:hAnsi="Aptos"/>
          <w:b w:val="0"/>
          <w:i w:val="0"/>
          <w:color w:val="1D2433"/>
          <w:sz w:val="19"/>
        </w:rPr>
        <w:t>Public Quantum Park information confirms three current locations—Lisboa, Almada and Algarve—and a mixed portfolio spanning activities, parties, camps, groups, vouchers and on-site food. The current booking journey is exposed through a branded AppyBook domain. This PRD therefore requires multi-park operation, household modelling, multiple commercial event types and an integration adapter for AppyBook or its replacement. Because a public integration contract was not located, no endpoint or capability is invented; the adapter must support API, webhook, scheduled export and controlled operational import modes.</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shd w:fill="0B2545"/>
            <w:tcMar>
              <w:top w:w="90" w:type="dxa"/>
              <w:start w:w="120" w:type="dxa"/>
              <w:bottom w:w="90" w:type="dxa"/>
              <w:end w:w="120" w:type="dxa"/>
            </w:tcMar>
          </w:tcPr>
          <w:p>
            <w:pPr>
              <w:spacing w:after="0"/>
            </w:pPr>
            <w:r/>
            <w:r>
              <w:rPr>
                <w:rFonts w:ascii="Aptos" w:hAnsi="Aptos"/>
                <w:b/>
                <w:color w:val="FFFFFF"/>
                <w:sz w:val="16"/>
              </w:rPr>
              <w:t>Domain</w:t>
            </w:r>
          </w:p>
        </w:tc>
        <w:tc>
          <w:tcPr>
            <w:tcW w:type="dxa" w:w="7260"/>
            <w:shd w:fill="0B2545"/>
            <w:tcMar>
              <w:top w:w="90" w:type="dxa"/>
              <w:start w:w="120" w:type="dxa"/>
              <w:bottom w:w="90" w:type="dxa"/>
              <w:end w:w="120" w:type="dxa"/>
            </w:tcMar>
          </w:tcPr>
          <w:p>
            <w:pPr>
              <w:spacing w:after="0"/>
            </w:pPr>
            <w:r/>
            <w:r>
              <w:rPr>
                <w:rFonts w:ascii="Aptos" w:hAnsi="Aptos"/>
                <w:b/>
                <w:color w:val="FFFFFF"/>
                <w:sz w:val="16"/>
              </w:rPr>
              <w:t>Known Quantum Park relevance</w:t>
            </w:r>
          </w:p>
        </w:tc>
      </w:tr>
      <w:tr>
        <w:tc>
          <w:tcPr>
            <w:tcW w:type="dxa" w:w="2100"/>
            <w:vAlign w:val="top"/>
            <w:tcMar>
              <w:top w:w="90" w:type="dxa"/>
              <w:start w:w="120" w:type="dxa"/>
              <w:bottom w:w="90" w:type="dxa"/>
              <w:end w:w="120" w:type="dxa"/>
            </w:tcMar>
          </w:tcPr>
          <w:p>
            <w:pPr>
              <w:spacing w:after="0" w:line="250" w:lineRule="auto"/>
            </w:pPr>
            <w:r/>
            <w:r>
              <w:rPr>
                <w:rFonts w:ascii="Aptos" w:hAnsi="Aptos"/>
                <w:b w:val="0"/>
                <w:color w:val="1D2433"/>
                <w:sz w:val="16"/>
              </w:rPr>
              <w:t>Locations</w:t>
            </w:r>
          </w:p>
        </w:tc>
        <w:tc>
          <w:tcPr>
            <w:tcW w:type="dxa" w:w="7260"/>
            <w:vAlign w:val="top"/>
            <w:tcMar>
              <w:top w:w="90" w:type="dxa"/>
              <w:start w:w="120" w:type="dxa"/>
              <w:bottom w:w="90" w:type="dxa"/>
              <w:end w:w="120" w:type="dxa"/>
            </w:tcMar>
          </w:tcPr>
          <w:p>
            <w:pPr>
              <w:spacing w:after="0" w:line="250" w:lineRule="auto"/>
            </w:pPr>
            <w:r/>
            <w:r>
              <w:rPr>
                <w:rFonts w:ascii="Aptos" w:hAnsi="Aptos"/>
                <w:b w:val="0"/>
                <w:color w:val="1D2433"/>
                <w:sz w:val="16"/>
              </w:rPr>
              <w:t>Lisboa (Agualva-Cacém), Almada (Charneca da Caparica) and Algarve (Algoz), with future locations configurable.</w:t>
            </w:r>
          </w:p>
        </w:tc>
      </w:tr>
      <w:tr>
        <w:tc>
          <w:tcPr>
            <w:tcW w:type="dxa" w:w="2100"/>
            <w:vAlign w:val="top"/>
            <w:shd w:fill="F6F8FB"/>
            <w:tcMar>
              <w:top w:w="90" w:type="dxa"/>
              <w:start w:w="120" w:type="dxa"/>
              <w:bottom w:w="90" w:type="dxa"/>
              <w:end w:w="120" w:type="dxa"/>
            </w:tcMar>
          </w:tcPr>
          <w:p>
            <w:pPr>
              <w:spacing w:after="0" w:line="250" w:lineRule="auto"/>
            </w:pPr>
            <w:r/>
            <w:r>
              <w:rPr>
                <w:rFonts w:ascii="Aptos" w:hAnsi="Aptos"/>
                <w:b w:val="0"/>
                <w:color w:val="1D2433"/>
                <w:sz w:val="16"/>
              </w:rPr>
              <w:t>Activities</w:t>
            </w:r>
          </w:p>
        </w:tc>
        <w:tc>
          <w:tcPr>
            <w:tcW w:type="dxa" w:w="7260"/>
            <w:vAlign w:val="top"/>
            <w:shd w:fill="F6F8FB"/>
            <w:tcMar>
              <w:top w:w="90" w:type="dxa"/>
              <w:start w:w="120" w:type="dxa"/>
              <w:bottom w:w="90" w:type="dxa"/>
              <w:end w:w="120" w:type="dxa"/>
            </w:tcMar>
          </w:tcPr>
          <w:p>
            <w:pPr>
              <w:spacing w:after="0" w:line="250" w:lineRule="auto"/>
            </w:pPr>
            <w:r/>
            <w:r>
              <w:rPr>
                <w:rFonts w:ascii="Aptos" w:hAnsi="Aptos"/>
                <w:b w:val="0"/>
                <w:color w:val="1D2433"/>
                <w:sz w:val="16"/>
              </w:rPr>
              <w:t>Trampolines, Ninja, climbing, laser tag, VR and location-specific attractions.</w:t>
            </w:r>
          </w:p>
        </w:tc>
      </w:tr>
      <w:tr>
        <w:tc>
          <w:tcPr>
            <w:tcW w:type="dxa" w:w="2100"/>
            <w:vAlign w:val="top"/>
            <w:tcMar>
              <w:top w:w="90" w:type="dxa"/>
              <w:start w:w="120" w:type="dxa"/>
              <w:bottom w:w="90" w:type="dxa"/>
              <w:end w:w="120" w:type="dxa"/>
            </w:tcMar>
          </w:tcPr>
          <w:p>
            <w:pPr>
              <w:spacing w:after="0" w:line="250" w:lineRule="auto"/>
            </w:pPr>
            <w:r/>
            <w:r>
              <w:rPr>
                <w:rFonts w:ascii="Aptos" w:hAnsi="Aptos"/>
                <w:b w:val="0"/>
                <w:color w:val="1D2433"/>
                <w:sz w:val="16"/>
              </w:rPr>
              <w:t>Occasions</w:t>
            </w:r>
          </w:p>
        </w:tc>
        <w:tc>
          <w:tcPr>
            <w:tcW w:type="dxa" w:w="7260"/>
            <w:vAlign w:val="top"/>
            <w:tcMar>
              <w:top w:w="90" w:type="dxa"/>
              <w:start w:w="120" w:type="dxa"/>
              <w:bottom w:w="90" w:type="dxa"/>
              <w:end w:w="120" w:type="dxa"/>
            </w:tcMar>
          </w:tcPr>
          <w:p>
            <w:pPr>
              <w:spacing w:after="0" w:line="250" w:lineRule="auto"/>
            </w:pPr>
            <w:r/>
            <w:r>
              <w:rPr>
                <w:rFonts w:ascii="Aptos" w:hAnsi="Aptos"/>
                <w:b w:val="0"/>
                <w:color w:val="1D2433"/>
                <w:sz w:val="16"/>
              </w:rPr>
              <w:t>Casual visits, family visits, birthday parties, camps, schools, groups, corporate events and exclusivity.</w:t>
            </w:r>
          </w:p>
        </w:tc>
      </w:tr>
      <w:tr>
        <w:tc>
          <w:tcPr>
            <w:tcW w:type="dxa" w:w="2100"/>
            <w:vAlign w:val="top"/>
            <w:shd w:fill="F6F8FB"/>
            <w:tcMar>
              <w:top w:w="90" w:type="dxa"/>
              <w:start w:w="120" w:type="dxa"/>
              <w:bottom w:w="90" w:type="dxa"/>
              <w:end w:w="120" w:type="dxa"/>
            </w:tcMar>
          </w:tcPr>
          <w:p>
            <w:pPr>
              <w:spacing w:after="0" w:line="250" w:lineRule="auto"/>
            </w:pPr>
            <w:r/>
            <w:r>
              <w:rPr>
                <w:rFonts w:ascii="Aptos" w:hAnsi="Aptos"/>
                <w:b w:val="0"/>
                <w:color w:val="1D2433"/>
                <w:sz w:val="16"/>
              </w:rPr>
              <w:t>Ancillary revenue</w:t>
            </w:r>
          </w:p>
        </w:tc>
        <w:tc>
          <w:tcPr>
            <w:tcW w:type="dxa" w:w="7260"/>
            <w:vAlign w:val="top"/>
            <w:shd w:fill="F6F8FB"/>
            <w:tcMar>
              <w:top w:w="90" w:type="dxa"/>
              <w:start w:w="120" w:type="dxa"/>
              <w:bottom w:w="90" w:type="dxa"/>
              <w:end w:w="120" w:type="dxa"/>
            </w:tcMar>
          </w:tcPr>
          <w:p>
            <w:pPr>
              <w:spacing w:after="0" w:line="250" w:lineRule="auto"/>
            </w:pPr>
            <w:r/>
            <w:r>
              <w:rPr>
                <w:rFonts w:ascii="Aptos" w:hAnsi="Aptos"/>
                <w:b w:val="0"/>
                <w:color w:val="1D2433"/>
                <w:sz w:val="16"/>
              </w:rPr>
              <w:t>Quantum Café/food and beverage, socks, upgrades, add-ons and vouchers.</w:t>
            </w:r>
          </w:p>
        </w:tc>
      </w:tr>
      <w:tr>
        <w:tc>
          <w:tcPr>
            <w:tcW w:type="dxa" w:w="2100"/>
            <w:vAlign w:val="top"/>
            <w:tcMar>
              <w:top w:w="90" w:type="dxa"/>
              <w:start w:w="120" w:type="dxa"/>
              <w:bottom w:w="90" w:type="dxa"/>
              <w:end w:w="120" w:type="dxa"/>
            </w:tcMar>
          </w:tcPr>
          <w:p>
            <w:pPr>
              <w:spacing w:after="0" w:line="250" w:lineRule="auto"/>
            </w:pPr>
            <w:r/>
            <w:r>
              <w:rPr>
                <w:rFonts w:ascii="Aptos" w:hAnsi="Aptos"/>
                <w:b w:val="0"/>
                <w:color w:val="1D2433"/>
                <w:sz w:val="16"/>
              </w:rPr>
              <w:t>Booking</w:t>
            </w:r>
          </w:p>
        </w:tc>
        <w:tc>
          <w:tcPr>
            <w:tcW w:type="dxa" w:w="7260"/>
            <w:vAlign w:val="top"/>
            <w:tcMar>
              <w:top w:w="90" w:type="dxa"/>
              <w:start w:w="120" w:type="dxa"/>
              <w:bottom w:w="90" w:type="dxa"/>
              <w:end w:w="120" w:type="dxa"/>
            </w:tcMar>
          </w:tcPr>
          <w:p>
            <w:pPr>
              <w:spacing w:after="0" w:line="250" w:lineRule="auto"/>
            </w:pPr>
            <w:r/>
            <w:r>
              <w:rPr>
                <w:rFonts w:ascii="Aptos" w:hAnsi="Aptos"/>
                <w:b w:val="0"/>
                <w:color w:val="1D2433"/>
                <w:sz w:val="16"/>
              </w:rPr>
              <w:t>Current public booking and party flows use quantum.appybook.com.</w:t>
            </w:r>
          </w:p>
        </w:tc>
      </w:tr>
      <w:tr>
        <w:tc>
          <w:tcPr>
            <w:tcW w:type="dxa" w:w="2100"/>
            <w:vAlign w:val="top"/>
            <w:shd w:fill="F6F8FB"/>
            <w:tcMar>
              <w:top w:w="90" w:type="dxa"/>
              <w:start w:w="120" w:type="dxa"/>
              <w:bottom w:w="90" w:type="dxa"/>
              <w:end w:w="120" w:type="dxa"/>
            </w:tcMar>
          </w:tcPr>
          <w:p>
            <w:pPr>
              <w:spacing w:after="0" w:line="250" w:lineRule="auto"/>
            </w:pPr>
            <w:r/>
            <w:r>
              <w:rPr>
                <w:rFonts w:ascii="Aptos" w:hAnsi="Aptos"/>
                <w:b w:val="0"/>
                <w:color w:val="1D2433"/>
                <w:sz w:val="16"/>
              </w:rPr>
              <w:t>Customer reality</w:t>
            </w:r>
          </w:p>
        </w:tc>
        <w:tc>
          <w:tcPr>
            <w:tcW w:type="dxa" w:w="7260"/>
            <w:vAlign w:val="top"/>
            <w:shd w:fill="F6F8FB"/>
            <w:tcMar>
              <w:top w:w="90" w:type="dxa"/>
              <w:start w:w="120" w:type="dxa"/>
              <w:bottom w:w="90" w:type="dxa"/>
              <w:end w:w="120" w:type="dxa"/>
            </w:tcMar>
          </w:tcPr>
          <w:p>
            <w:pPr>
              <w:spacing w:after="0" w:line="250" w:lineRule="auto"/>
            </w:pPr>
            <w:r/>
            <w:r>
              <w:rPr>
                <w:rFonts w:ascii="Aptos" w:hAnsi="Aptos"/>
                <w:b w:val="0"/>
                <w:color w:val="1D2433"/>
                <w:sz w:val="16"/>
              </w:rPr>
              <w:t>Adults book/pay; children and teenagers frequently participate; groups may have an organisational buyer.</w:t>
            </w:r>
          </w:p>
        </w:tc>
      </w:tr>
    </w:tbl>
    <w:p>
      <w:pPr>
        <w:spacing w:after="20"/>
      </w:pPr>
    </w:p>
    <w:p>
      <w:pPr>
        <w:pStyle w:val="Heading2"/>
        <w:keepNext/>
      </w:pPr>
      <w:r>
        <w:t>2.2 Fidelize benchmark: retain, improve, reject</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vAlign w:val="center"/>
            <w:shd w:fill="0B2545"/>
            <w:tcMar>
              <w:top w:w="90" w:type="dxa"/>
              <w:start w:w="120" w:type="dxa"/>
              <w:bottom w:w="90" w:type="dxa"/>
              <w:end w:w="120" w:type="dxa"/>
            </w:tcMar>
          </w:tcPr>
          <w:p>
            <w:pPr>
              <w:spacing w:after="0"/>
            </w:pPr>
            <w:r/>
            <w:r>
              <w:rPr>
                <w:rFonts w:ascii="Aptos" w:hAnsi="Aptos"/>
                <w:b/>
                <w:color w:val="FFFFFF"/>
                <w:sz w:val="15"/>
              </w:rPr>
              <w:t>Capability/pattern</w:t>
            </w:r>
          </w:p>
        </w:tc>
        <w:tc>
          <w:tcPr>
            <w:tcW w:type="dxa" w:w="6760"/>
            <w:shd w:fill="0B2545"/>
            <w:tcMar>
              <w:top w:w="90" w:type="dxa"/>
              <w:start w:w="120" w:type="dxa"/>
              <w:bottom w:w="90" w:type="dxa"/>
              <w:end w:w="120" w:type="dxa"/>
            </w:tcMar>
          </w:tcPr>
          <w:p>
            <w:pPr>
              <w:spacing w:after="0"/>
            </w:pPr>
            <w:r/>
            <w:r>
              <w:rPr>
                <w:rFonts w:ascii="Aptos" w:hAnsi="Aptos"/>
                <w:b/>
                <w:color w:val="FFFFFF"/>
                <w:sz w:val="15"/>
              </w:rPr>
              <w:t>Decision for Quantum Club</w:t>
            </w:r>
          </w:p>
        </w:tc>
      </w:tr>
      <w:tr>
        <w:tc>
          <w:tcPr>
            <w:tcW w:type="dxa" w:w="2600"/>
            <w:vAlign w:val="top"/>
            <w:tcMar>
              <w:top w:w="90" w:type="dxa"/>
              <w:start w:w="120" w:type="dxa"/>
              <w:bottom w:w="90" w:type="dxa"/>
              <w:end w:w="120" w:type="dxa"/>
            </w:tcMar>
          </w:tcPr>
          <w:p>
            <w:pPr>
              <w:spacing w:after="0" w:line="250" w:lineRule="auto"/>
            </w:pPr>
            <w:r/>
            <w:r>
              <w:rPr>
                <w:rFonts w:ascii="Aptos" w:hAnsi="Aptos"/>
                <w:b w:val="0"/>
                <w:color w:val="1D2433"/>
                <w:sz w:val="15"/>
              </w:rPr>
              <w:t>Digital cards and QR scanner</w:t>
            </w:r>
          </w:p>
        </w:tc>
        <w:tc>
          <w:tcPr>
            <w:tcW w:type="dxa" w:w="6760"/>
            <w:vAlign w:val="top"/>
            <w:tcMar>
              <w:top w:w="90" w:type="dxa"/>
              <w:start w:w="120" w:type="dxa"/>
              <w:bottom w:w="90" w:type="dxa"/>
              <w:end w:w="120" w:type="dxa"/>
            </w:tcMar>
          </w:tcPr>
          <w:p>
            <w:pPr>
              <w:spacing w:after="0" w:line="250" w:lineRule="auto"/>
            </w:pPr>
            <w:r/>
            <w:r>
              <w:rPr>
                <w:rFonts w:ascii="Aptos" w:hAnsi="Aptos"/>
                <w:b w:val="0"/>
                <w:color w:val="1D2433"/>
                <w:sz w:val="15"/>
              </w:rPr>
              <w:t>Retain, but use rotating signed credentials, device controls and auditable events.</w:t>
            </w:r>
          </w:p>
        </w:tc>
      </w:tr>
      <w:tr>
        <w:tc>
          <w:tcPr>
            <w:tcW w:type="dxa" w:w="26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Points, stamps, cashback, discounts, coupons, multipass, membership, gifts</w:t>
            </w:r>
          </w:p>
        </w:tc>
        <w:tc>
          <w:tcPr>
            <w:tcW w:type="dxa" w:w="67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Retain as distinct rule and value types; remove ambiguous shared-balance semantics.</w:t>
            </w:r>
          </w:p>
        </w:tc>
      </w:tr>
      <w:tr>
        <w:tc>
          <w:tcPr>
            <w:tcW w:type="dxa" w:w="2600"/>
            <w:vAlign w:val="top"/>
            <w:tcMar>
              <w:top w:w="90" w:type="dxa"/>
              <w:start w:w="120" w:type="dxa"/>
              <w:bottom w:w="90" w:type="dxa"/>
              <w:end w:w="120" w:type="dxa"/>
            </w:tcMar>
          </w:tcPr>
          <w:p>
            <w:pPr>
              <w:spacing w:after="0" w:line="250" w:lineRule="auto"/>
            </w:pPr>
            <w:r/>
            <w:r>
              <w:rPr>
                <w:rFonts w:ascii="Aptos" w:hAnsi="Aptos"/>
                <w:b w:val="0"/>
                <w:color w:val="1D2433"/>
                <w:sz w:val="15"/>
              </w:rPr>
              <w:t>Push, birthday, inactivity and geolocation automations</w:t>
            </w:r>
          </w:p>
        </w:tc>
        <w:tc>
          <w:tcPr>
            <w:tcW w:type="dxa" w:w="6760"/>
            <w:vAlign w:val="top"/>
            <w:tcMar>
              <w:top w:w="90" w:type="dxa"/>
              <w:start w:w="120" w:type="dxa"/>
              <w:bottom w:w="90" w:type="dxa"/>
              <w:end w:w="120" w:type="dxa"/>
            </w:tcMar>
          </w:tcPr>
          <w:p>
            <w:pPr>
              <w:spacing w:after="0" w:line="250" w:lineRule="auto"/>
            </w:pPr>
            <w:r/>
            <w:r>
              <w:rPr>
                <w:rFonts w:ascii="Aptos" w:hAnsi="Aptos"/>
                <w:b w:val="0"/>
                <w:color w:val="1D2433"/>
                <w:sz w:val="15"/>
              </w:rPr>
              <w:t>Retain within one governed journey engine with consent, quiet hours, caps and attribution.</w:t>
            </w:r>
          </w:p>
        </w:tc>
      </w:tr>
      <w:tr>
        <w:tc>
          <w:tcPr>
            <w:tcW w:type="dxa" w:w="26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Referral programme</w:t>
            </w:r>
          </w:p>
        </w:tc>
        <w:tc>
          <w:tcPr>
            <w:tcW w:type="dxa" w:w="67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Retain with qualification, anti-collusion, reversal and household rules.</w:t>
            </w:r>
          </w:p>
        </w:tc>
      </w:tr>
      <w:tr>
        <w:tc>
          <w:tcPr>
            <w:tcW w:type="dxa" w:w="2600"/>
            <w:vAlign w:val="top"/>
            <w:tcMar>
              <w:top w:w="90" w:type="dxa"/>
              <w:start w:w="120" w:type="dxa"/>
              <w:bottom w:w="90" w:type="dxa"/>
              <w:end w:w="120" w:type="dxa"/>
            </w:tcMar>
          </w:tcPr>
          <w:p>
            <w:pPr>
              <w:spacing w:after="0" w:line="250" w:lineRule="auto"/>
            </w:pPr>
            <w:r/>
            <w:r>
              <w:rPr>
                <w:rFonts w:ascii="Aptos" w:hAnsi="Aptos"/>
                <w:b w:val="0"/>
                <w:color w:val="1D2433"/>
                <w:sz w:val="15"/>
              </w:rPr>
              <w:t>Multiple managers and locations</w:t>
            </w:r>
          </w:p>
        </w:tc>
        <w:tc>
          <w:tcPr>
            <w:tcW w:type="dxa" w:w="6760"/>
            <w:vAlign w:val="top"/>
            <w:tcMar>
              <w:top w:w="90" w:type="dxa"/>
              <w:start w:w="120" w:type="dxa"/>
              <w:bottom w:w="90" w:type="dxa"/>
              <w:end w:w="120" w:type="dxa"/>
            </w:tcMar>
          </w:tcPr>
          <w:p>
            <w:pPr>
              <w:spacing w:after="0" w:line="250" w:lineRule="auto"/>
            </w:pPr>
            <w:r/>
            <w:r>
              <w:rPr>
                <w:rFonts w:ascii="Aptos" w:hAnsi="Aptos"/>
                <w:b w:val="0"/>
                <w:color w:val="1D2433"/>
                <w:sz w:val="15"/>
              </w:rPr>
              <w:t>Retain with role/park scopes and workforce identity lifecycle.</w:t>
            </w:r>
          </w:p>
        </w:tc>
      </w:tr>
      <w:tr>
        <w:tc>
          <w:tcPr>
            <w:tcW w:type="dxa" w:w="26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Generic merchant configuration</w:t>
            </w:r>
          </w:p>
        </w:tc>
        <w:tc>
          <w:tcPr>
            <w:tcW w:type="dxa" w:w="67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Reject; model Quantum Park products, households, dependants, parties, camps and operational roles directly.</w:t>
            </w:r>
          </w:p>
        </w:tc>
      </w:tr>
      <w:tr>
        <w:tc>
          <w:tcPr>
            <w:tcW w:type="dxa" w:w="2600"/>
            <w:vAlign w:val="top"/>
            <w:tcMar>
              <w:top w:w="90" w:type="dxa"/>
              <w:start w:w="120" w:type="dxa"/>
              <w:bottom w:w="90" w:type="dxa"/>
              <w:end w:w="120" w:type="dxa"/>
            </w:tcMar>
          </w:tcPr>
          <w:p>
            <w:pPr>
              <w:spacing w:after="0" w:line="250" w:lineRule="auto"/>
            </w:pPr>
            <w:r/>
            <w:r>
              <w:rPr>
                <w:rFonts w:ascii="Aptos" w:hAnsi="Aptos"/>
                <w:b w:val="0"/>
                <w:color w:val="1D2433"/>
                <w:sz w:val="15"/>
              </w:rPr>
              <w:t>Mutable balance-style operation</w:t>
            </w:r>
          </w:p>
        </w:tc>
        <w:tc>
          <w:tcPr>
            <w:tcW w:type="dxa" w:w="6760"/>
            <w:vAlign w:val="top"/>
            <w:tcMar>
              <w:top w:w="90" w:type="dxa"/>
              <w:start w:w="120" w:type="dxa"/>
              <w:bottom w:w="90" w:type="dxa"/>
              <w:end w:w="120" w:type="dxa"/>
            </w:tcMar>
          </w:tcPr>
          <w:p>
            <w:pPr>
              <w:spacing w:after="0" w:line="250" w:lineRule="auto"/>
            </w:pPr>
            <w:r/>
            <w:r>
              <w:rPr>
                <w:rFonts w:ascii="Aptos" w:hAnsi="Aptos"/>
                <w:b w:val="0"/>
                <w:color w:val="1D2433"/>
                <w:sz w:val="15"/>
              </w:rPr>
              <w:t>Reject; use immutable event and ledger records.</w:t>
            </w:r>
          </w:p>
        </w:tc>
      </w:tr>
      <w:tr>
        <w:tc>
          <w:tcPr>
            <w:tcW w:type="dxa" w:w="26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Unsupported “2X/30%” marketing claims</w:t>
            </w:r>
          </w:p>
        </w:tc>
        <w:tc>
          <w:tcPr>
            <w:tcW w:type="dxa" w:w="67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Reject; show experimentally credible and finance-reconciled impact.</w:t>
            </w:r>
          </w:p>
        </w:tc>
      </w:tr>
      <w:tr>
        <w:tc>
          <w:tcPr>
            <w:tcW w:type="dxa" w:w="2600"/>
            <w:vAlign w:val="top"/>
            <w:tcMar>
              <w:top w:w="90" w:type="dxa"/>
              <w:start w:w="120" w:type="dxa"/>
              <w:bottom w:w="90" w:type="dxa"/>
              <w:end w:w="120" w:type="dxa"/>
            </w:tcMar>
          </w:tcPr>
          <w:p>
            <w:pPr>
              <w:spacing w:after="0" w:line="250" w:lineRule="auto"/>
            </w:pPr>
            <w:r/>
            <w:r>
              <w:rPr>
                <w:rFonts w:ascii="Aptos" w:hAnsi="Aptos"/>
                <w:b w:val="0"/>
                <w:color w:val="1D2433"/>
                <w:sz w:val="15"/>
              </w:rPr>
              <w:t>White-label legal ambiguity</w:t>
            </w:r>
          </w:p>
        </w:tc>
        <w:tc>
          <w:tcPr>
            <w:tcW w:type="dxa" w:w="6760"/>
            <w:vAlign w:val="top"/>
            <w:tcMar>
              <w:top w:w="90" w:type="dxa"/>
              <w:start w:w="120" w:type="dxa"/>
              <w:bottom w:w="90" w:type="dxa"/>
              <w:end w:w="120" w:type="dxa"/>
            </w:tcMar>
          </w:tcPr>
          <w:p>
            <w:pPr>
              <w:spacing w:after="0" w:line="250" w:lineRule="auto"/>
            </w:pPr>
            <w:r/>
            <w:r>
              <w:rPr>
                <w:rFonts w:ascii="Aptos" w:hAnsi="Aptos"/>
                <w:b w:val="0"/>
                <w:color w:val="1D2433"/>
                <w:sz w:val="15"/>
              </w:rPr>
              <w:t>Reject; Quantum Park is explicit owner/controller, with documented processors and data locations.</w:t>
            </w:r>
          </w:p>
        </w:tc>
      </w:tr>
      <w:tr>
        <w:tc>
          <w:tcPr>
            <w:tcW w:type="dxa" w:w="26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Loose translations and mixed terminology</w:t>
            </w:r>
          </w:p>
        </w:tc>
        <w:tc>
          <w:tcPr>
            <w:tcW w:type="dxa" w:w="67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Reject; maintain controlled European Portuguese and English terminology.</w:t>
            </w:r>
          </w:p>
        </w:tc>
      </w:tr>
    </w:tbl>
    <w:p>
      <w:pPr>
        <w:spacing w:after="20"/>
      </w:pPr>
    </w:p>
    <w:p>
      <w:pPr>
        <w:pStyle w:val="Heading2"/>
        <w:keepNext/>
      </w:pPr>
      <w:r>
        <w:t>2.3 Competitive superiority criteria</w:t>
      </w:r>
    </w:p>
    <w:p>
      <w:pPr>
        <w:pStyle w:val="ListBullet"/>
      </w:pPr>
      <w:r>
        <w:rPr>
          <w:rFonts w:ascii="Aptos" w:hAnsi="Aptos"/>
          <w:b w:val="0"/>
          <w:color w:val="1D2433"/>
          <w:sz w:val="19"/>
        </w:rPr>
        <w:t>A family can manage multiple participating children without duplicate accounts or separate wallets unless explicitly desired.</w:t>
      </w:r>
    </w:p>
    <w:p>
      <w:pPr>
        <w:pStyle w:val="ListBullet"/>
      </w:pPr>
      <w:r>
        <w:rPr>
          <w:rFonts w:ascii="Aptos" w:hAnsi="Aptos"/>
          <w:b w:val="0"/>
          <w:color w:val="1D2433"/>
          <w:sz w:val="19"/>
        </w:rPr>
        <w:t>Any value movement is traceable from customer display to ledger entry, source transaction, rule version and staff/system actor.</w:t>
      </w:r>
    </w:p>
    <w:p>
      <w:pPr>
        <w:pStyle w:val="ListBullet"/>
      </w:pPr>
      <w:r>
        <w:rPr>
          <w:rFonts w:ascii="Aptos" w:hAnsi="Aptos"/>
          <w:b w:val="0"/>
          <w:color w:val="1D2433"/>
          <w:sz w:val="19"/>
        </w:rPr>
        <w:t>Reward economics can be limited by park, activity, day, capacity, margin, tier, age, household and campaign budget.</w:t>
      </w:r>
    </w:p>
    <w:p>
      <w:pPr>
        <w:pStyle w:val="ListBullet"/>
      </w:pPr>
      <w:r>
        <w:rPr>
          <w:rFonts w:ascii="Aptos" w:hAnsi="Aptos"/>
          <w:b w:val="0"/>
          <w:color w:val="1D2433"/>
          <w:sz w:val="19"/>
        </w:rPr>
        <w:t>Marketing can trigger relevant journeys without exporting unrestricted child data or bypassing consent.</w:t>
      </w:r>
    </w:p>
    <w:p>
      <w:pPr>
        <w:pStyle w:val="ListBullet"/>
      </w:pPr>
      <w:r>
        <w:rPr>
          <w:rFonts w:ascii="Aptos" w:hAnsi="Aptos"/>
          <w:b w:val="0"/>
          <w:color w:val="1D2433"/>
          <w:sz w:val="19"/>
        </w:rPr>
        <w:t>Finance can calculate outstanding gift value, loyalty liability, expired value, breakage and redemption cost.</w:t>
      </w:r>
    </w:p>
    <w:p>
      <w:pPr>
        <w:pStyle w:val="ListBullet"/>
      </w:pPr>
      <w:r>
        <w:rPr>
          <w:rFonts w:ascii="Aptos" w:hAnsi="Aptos"/>
          <w:b w:val="0"/>
          <w:color w:val="1D2433"/>
          <w:sz w:val="19"/>
        </w:rPr>
        <w:t>Operations can continue safely during connectivity issues using bounded offline authorisations and later reconciliation.</w:t>
      </w:r>
    </w:p>
    <w:p>
      <w:pPr>
        <w:pStyle w:val="ListBullet"/>
      </w:pPr>
      <w:r>
        <w:rPr>
          <w:rFonts w:ascii="Aptos" w:hAnsi="Aptos"/>
          <w:b w:val="0"/>
          <w:color w:val="1D2433"/>
          <w:sz w:val="19"/>
        </w:rPr>
        <w:t>The platform exposes stable APIs, events and exports; it is not a closed dashboard.</w:t>
      </w:r>
    </w:p>
    <w:p>
      <w:pPr>
        <w:pStyle w:val="Heading1"/>
        <w:keepNext/>
      </w:pPr>
      <w:r>
        <w:t>3. Objectives, success measures and guardrails</w:t>
      </w:r>
    </w:p>
    <w:p>
      <w:pPr>
        <w:pStyle w:val="Heading2"/>
        <w:keepNext/>
      </w:pPr>
      <w:r>
        <w:t>3.1 Business objectives</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vAlign w:val="center"/>
            <w:shd w:fill="0B2545"/>
            <w:tcMar>
              <w:top w:w="90" w:type="dxa"/>
              <w:start w:w="120" w:type="dxa"/>
              <w:bottom w:w="90" w:type="dxa"/>
              <w:end w:w="120" w:type="dxa"/>
            </w:tcMar>
          </w:tcPr>
          <w:p>
            <w:pPr>
              <w:spacing w:after="0"/>
            </w:pPr>
            <w:r/>
            <w:r>
              <w:rPr>
                <w:rFonts w:ascii="Aptos" w:hAnsi="Aptos"/>
                <w:b/>
                <w:color w:val="FFFFFF"/>
                <w:sz w:val="16"/>
              </w:rPr>
              <w:t>Objective</w:t>
            </w:r>
          </w:p>
        </w:tc>
        <w:tc>
          <w:tcPr>
            <w:tcW w:type="dxa" w:w="7060"/>
            <w:shd w:fill="0B2545"/>
            <w:tcMar>
              <w:top w:w="90" w:type="dxa"/>
              <w:start w:w="120" w:type="dxa"/>
              <w:bottom w:w="90" w:type="dxa"/>
              <w:end w:w="120" w:type="dxa"/>
            </w:tcMar>
          </w:tcPr>
          <w:p>
            <w:pPr>
              <w:spacing w:after="0"/>
            </w:pPr>
            <w:r/>
            <w:r>
              <w:rPr>
                <w:rFonts w:ascii="Aptos" w:hAnsi="Aptos"/>
                <w:b/>
                <w:color w:val="FFFFFF"/>
                <w:sz w:val="16"/>
              </w:rPr>
              <w:t>Definition</w:t>
            </w:r>
          </w:p>
        </w:tc>
      </w:tr>
      <w:tr>
        <w:tc>
          <w:tcPr>
            <w:tcW w:type="dxa" w:w="2300"/>
            <w:vAlign w:val="top"/>
            <w:tcMar>
              <w:top w:w="90" w:type="dxa"/>
              <w:start w:w="120" w:type="dxa"/>
              <w:bottom w:w="90" w:type="dxa"/>
              <w:end w:w="120" w:type="dxa"/>
            </w:tcMar>
          </w:tcPr>
          <w:p>
            <w:pPr>
              <w:spacing w:after="0" w:line="250" w:lineRule="auto"/>
            </w:pPr>
            <w:r/>
            <w:r>
              <w:rPr>
                <w:rFonts w:ascii="Aptos" w:hAnsi="Aptos"/>
                <w:b w:val="0"/>
                <w:color w:val="1D2433"/>
                <w:sz w:val="16"/>
              </w:rPr>
              <w:t>Increase identified visits</w:t>
            </w:r>
          </w:p>
        </w:tc>
        <w:tc>
          <w:tcPr>
            <w:tcW w:type="dxa" w:w="7060"/>
            <w:vAlign w:val="top"/>
            <w:tcMar>
              <w:top w:w="90" w:type="dxa"/>
              <w:start w:w="120" w:type="dxa"/>
              <w:bottom w:w="90" w:type="dxa"/>
              <w:end w:w="120" w:type="dxa"/>
            </w:tcMar>
          </w:tcPr>
          <w:p>
            <w:pPr>
              <w:spacing w:after="0" w:line="250" w:lineRule="auto"/>
            </w:pPr>
            <w:r/>
            <w:r>
              <w:rPr>
                <w:rFonts w:ascii="Aptos" w:hAnsi="Aptos"/>
                <w:b w:val="0"/>
                <w:color w:val="1D2433"/>
                <w:sz w:val="16"/>
              </w:rPr>
              <w:t>Increase the percentage of admissions, parties, camps and relevant purchases associated with a verified household.</w:t>
            </w:r>
          </w:p>
        </w:tc>
      </w:tr>
      <w:tr>
        <w:tc>
          <w:tcPr>
            <w:tcW w:type="dxa" w:w="2300"/>
            <w:vAlign w:val="top"/>
            <w:shd w:fill="F6F8FB"/>
            <w:tcMar>
              <w:top w:w="90" w:type="dxa"/>
              <w:start w:w="120" w:type="dxa"/>
              <w:bottom w:w="90" w:type="dxa"/>
              <w:end w:w="120" w:type="dxa"/>
            </w:tcMar>
          </w:tcPr>
          <w:p>
            <w:pPr>
              <w:spacing w:after="0" w:line="250" w:lineRule="auto"/>
            </w:pPr>
            <w:r/>
            <w:r>
              <w:rPr>
                <w:rFonts w:ascii="Aptos" w:hAnsi="Aptos"/>
                <w:b w:val="0"/>
                <w:color w:val="1D2433"/>
                <w:sz w:val="16"/>
              </w:rPr>
              <w:t>Increase repeat behaviour</w:t>
            </w:r>
          </w:p>
        </w:tc>
        <w:tc>
          <w:tcPr>
            <w:tcW w:type="dxa" w:w="7060"/>
            <w:vAlign w:val="top"/>
            <w:shd w:fill="F6F8FB"/>
            <w:tcMar>
              <w:top w:w="90" w:type="dxa"/>
              <w:start w:w="120" w:type="dxa"/>
              <w:bottom w:w="90" w:type="dxa"/>
              <w:end w:w="120" w:type="dxa"/>
            </w:tcMar>
          </w:tcPr>
          <w:p>
            <w:pPr>
              <w:spacing w:after="0" w:line="250" w:lineRule="auto"/>
            </w:pPr>
            <w:r/>
            <w:r>
              <w:rPr>
                <w:rFonts w:ascii="Aptos" w:hAnsi="Aptos"/>
                <w:b w:val="0"/>
                <w:color w:val="1D2433"/>
                <w:sz w:val="16"/>
              </w:rPr>
              <w:t>Increase return rate and reduce median days between eligible visits for comparable customer cohorts.</w:t>
            </w:r>
          </w:p>
        </w:tc>
      </w:tr>
      <w:tr>
        <w:tc>
          <w:tcPr>
            <w:tcW w:type="dxa" w:w="2300"/>
            <w:vAlign w:val="top"/>
            <w:tcMar>
              <w:top w:w="90" w:type="dxa"/>
              <w:start w:w="120" w:type="dxa"/>
              <w:bottom w:w="90" w:type="dxa"/>
              <w:end w:w="120" w:type="dxa"/>
            </w:tcMar>
          </w:tcPr>
          <w:p>
            <w:pPr>
              <w:spacing w:after="0" w:line="250" w:lineRule="auto"/>
            </w:pPr>
            <w:r/>
            <w:r>
              <w:rPr>
                <w:rFonts w:ascii="Aptos" w:hAnsi="Aptos"/>
                <w:b w:val="0"/>
                <w:color w:val="1D2433"/>
                <w:sz w:val="16"/>
              </w:rPr>
              <w:t>Increase cross-product adoption</w:t>
            </w:r>
          </w:p>
        </w:tc>
        <w:tc>
          <w:tcPr>
            <w:tcW w:type="dxa" w:w="7060"/>
            <w:vAlign w:val="top"/>
            <w:tcMar>
              <w:top w:w="90" w:type="dxa"/>
              <w:start w:w="120" w:type="dxa"/>
              <w:bottom w:w="90" w:type="dxa"/>
              <w:end w:w="120" w:type="dxa"/>
            </w:tcMar>
          </w:tcPr>
          <w:p>
            <w:pPr>
              <w:spacing w:after="0" w:line="250" w:lineRule="auto"/>
            </w:pPr>
            <w:r/>
            <w:r>
              <w:rPr>
                <w:rFonts w:ascii="Aptos" w:hAnsi="Aptos"/>
                <w:b w:val="0"/>
                <w:color w:val="1D2433"/>
                <w:sz w:val="16"/>
              </w:rPr>
              <w:t>Move households from single-use patterns into additional activities, parks, parties, camps or food.</w:t>
            </w:r>
          </w:p>
        </w:tc>
      </w:tr>
      <w:tr>
        <w:tc>
          <w:tcPr>
            <w:tcW w:type="dxa" w:w="2300"/>
            <w:vAlign w:val="top"/>
            <w:shd w:fill="F6F8FB"/>
            <w:tcMar>
              <w:top w:w="90" w:type="dxa"/>
              <w:start w:w="120" w:type="dxa"/>
              <w:bottom w:w="90" w:type="dxa"/>
              <w:end w:w="120" w:type="dxa"/>
            </w:tcMar>
          </w:tcPr>
          <w:p>
            <w:pPr>
              <w:spacing w:after="0" w:line="250" w:lineRule="auto"/>
            </w:pPr>
            <w:r/>
            <w:r>
              <w:rPr>
                <w:rFonts w:ascii="Aptos" w:hAnsi="Aptos"/>
                <w:b w:val="0"/>
                <w:color w:val="1D2433"/>
                <w:sz w:val="16"/>
              </w:rPr>
              <w:t>Grow owned reach</w:t>
            </w:r>
          </w:p>
        </w:tc>
        <w:tc>
          <w:tcPr>
            <w:tcW w:type="dxa" w:w="7060"/>
            <w:vAlign w:val="top"/>
            <w:shd w:fill="F6F8FB"/>
            <w:tcMar>
              <w:top w:w="90" w:type="dxa"/>
              <w:start w:w="120" w:type="dxa"/>
              <w:bottom w:w="90" w:type="dxa"/>
              <w:end w:w="120" w:type="dxa"/>
            </w:tcMar>
          </w:tcPr>
          <w:p>
            <w:pPr>
              <w:spacing w:after="0" w:line="250" w:lineRule="auto"/>
            </w:pPr>
            <w:r/>
            <w:r>
              <w:rPr>
                <w:rFonts w:ascii="Aptos" w:hAnsi="Aptos"/>
                <w:b w:val="0"/>
                <w:color w:val="1D2433"/>
                <w:sz w:val="16"/>
              </w:rPr>
              <w:t>Increase adults with valid, granular consented communication channels.</w:t>
            </w:r>
          </w:p>
        </w:tc>
      </w:tr>
      <w:tr>
        <w:tc>
          <w:tcPr>
            <w:tcW w:type="dxa" w:w="2300"/>
            <w:vAlign w:val="top"/>
            <w:tcMar>
              <w:top w:w="90" w:type="dxa"/>
              <w:start w:w="120" w:type="dxa"/>
              <w:bottom w:w="90" w:type="dxa"/>
              <w:end w:w="120" w:type="dxa"/>
            </w:tcMar>
          </w:tcPr>
          <w:p>
            <w:pPr>
              <w:spacing w:after="0" w:line="250" w:lineRule="auto"/>
            </w:pPr>
            <w:r/>
            <w:r>
              <w:rPr>
                <w:rFonts w:ascii="Aptos" w:hAnsi="Aptos"/>
                <w:b w:val="0"/>
                <w:color w:val="1D2433"/>
                <w:sz w:val="16"/>
              </w:rPr>
              <w:t>Protect contribution margin</w:t>
            </w:r>
          </w:p>
        </w:tc>
        <w:tc>
          <w:tcPr>
            <w:tcW w:type="dxa" w:w="7060"/>
            <w:vAlign w:val="top"/>
            <w:tcMar>
              <w:top w:w="90" w:type="dxa"/>
              <w:start w:w="120" w:type="dxa"/>
              <w:bottom w:w="90" w:type="dxa"/>
              <w:end w:w="120" w:type="dxa"/>
            </w:tcMar>
          </w:tcPr>
          <w:p>
            <w:pPr>
              <w:spacing w:after="0" w:line="250" w:lineRule="auto"/>
            </w:pPr>
            <w:r/>
            <w:r>
              <w:rPr>
                <w:rFonts w:ascii="Aptos" w:hAnsi="Aptos"/>
                <w:b w:val="0"/>
                <w:color w:val="1D2433"/>
                <w:sz w:val="16"/>
              </w:rPr>
              <w:t>Ensure rewards and promotions are governed by budget, capacity and margin constraints.</w:t>
            </w:r>
          </w:p>
        </w:tc>
      </w:tr>
      <w:tr>
        <w:tc>
          <w:tcPr>
            <w:tcW w:type="dxa" w:w="2300"/>
            <w:vAlign w:val="top"/>
            <w:shd w:fill="F6F8FB"/>
            <w:tcMar>
              <w:top w:w="90" w:type="dxa"/>
              <w:start w:w="120" w:type="dxa"/>
              <w:bottom w:w="90" w:type="dxa"/>
              <w:end w:w="120" w:type="dxa"/>
            </w:tcMar>
          </w:tcPr>
          <w:p>
            <w:pPr>
              <w:spacing w:after="0" w:line="250" w:lineRule="auto"/>
            </w:pPr>
            <w:r/>
            <w:r>
              <w:rPr>
                <w:rFonts w:ascii="Aptos" w:hAnsi="Aptos"/>
                <w:b w:val="0"/>
                <w:color w:val="1D2433"/>
                <w:sz w:val="16"/>
              </w:rPr>
              <w:t>Improve operational insight</w:t>
            </w:r>
          </w:p>
        </w:tc>
        <w:tc>
          <w:tcPr>
            <w:tcW w:type="dxa" w:w="7060"/>
            <w:vAlign w:val="top"/>
            <w:shd w:fill="F6F8FB"/>
            <w:tcMar>
              <w:top w:w="90" w:type="dxa"/>
              <w:start w:w="120" w:type="dxa"/>
              <w:bottom w:w="90" w:type="dxa"/>
              <w:end w:w="120" w:type="dxa"/>
            </w:tcMar>
          </w:tcPr>
          <w:p>
            <w:pPr>
              <w:spacing w:after="0" w:line="250" w:lineRule="auto"/>
            </w:pPr>
            <w:r/>
            <w:r>
              <w:rPr>
                <w:rFonts w:ascii="Aptos" w:hAnsi="Aptos"/>
                <w:b w:val="0"/>
                <w:color w:val="1D2433"/>
                <w:sz w:val="16"/>
              </w:rPr>
              <w:t>Give park and central teams consistent customer, campaign, liability and redemption reporting.</w:t>
            </w:r>
          </w:p>
        </w:tc>
      </w:tr>
      <w:tr>
        <w:tc>
          <w:tcPr>
            <w:tcW w:type="dxa" w:w="2300"/>
            <w:vAlign w:val="top"/>
            <w:tcMar>
              <w:top w:w="90" w:type="dxa"/>
              <w:start w:w="120" w:type="dxa"/>
              <w:bottom w:w="90" w:type="dxa"/>
              <w:end w:w="120" w:type="dxa"/>
            </w:tcMar>
          </w:tcPr>
          <w:p>
            <w:pPr>
              <w:spacing w:after="0" w:line="250" w:lineRule="auto"/>
            </w:pPr>
            <w:r/>
            <w:r>
              <w:rPr>
                <w:rFonts w:ascii="Aptos" w:hAnsi="Aptos"/>
                <w:b w:val="0"/>
                <w:color w:val="1D2433"/>
                <w:sz w:val="16"/>
              </w:rPr>
              <w:t>Reduce platform dependency</w:t>
            </w:r>
          </w:p>
        </w:tc>
        <w:tc>
          <w:tcPr>
            <w:tcW w:type="dxa" w:w="7060"/>
            <w:vAlign w:val="top"/>
            <w:tcMar>
              <w:top w:w="90" w:type="dxa"/>
              <w:start w:w="120" w:type="dxa"/>
              <w:bottom w:w="90" w:type="dxa"/>
              <w:end w:w="120" w:type="dxa"/>
            </w:tcMar>
          </w:tcPr>
          <w:p>
            <w:pPr>
              <w:spacing w:after="0" w:line="250" w:lineRule="auto"/>
            </w:pPr>
            <w:r/>
            <w:r>
              <w:rPr>
                <w:rFonts w:ascii="Aptos" w:hAnsi="Aptos"/>
                <w:b w:val="0"/>
                <w:color w:val="1D2433"/>
                <w:sz w:val="16"/>
              </w:rPr>
              <w:t>Own core data, code, deployment, contracts and recoverability.</w:t>
            </w:r>
          </w:p>
        </w:tc>
      </w:tr>
    </w:tbl>
    <w:p>
      <w:pPr>
        <w:spacing w:after="20"/>
      </w:pPr>
    </w:p>
    <w:p>
      <w:pPr>
        <w:pStyle w:val="Heading2"/>
        <w:keepNext/>
      </w:pPr>
      <w:r>
        <w:t>3.2 Production KPI framework</w:t>
      </w:r>
    </w:p>
    <w:tbl>
      <w:tblPr>
        <w:tblStyle w:val="TableGrid"/>
        <w:tblW w:type="dxa" w:w="9360"/>
        <w:jc w:val="left"/>
        <w:tblLayout w:type="fixed"/>
        <w:tblLook w:firstColumn="1" w:firstRow="1" w:lastColumn="0" w:lastRow="0" w:noHBand="0" w:noVBand="1" w:val="04A0"/>
        <w:tblInd w:w="120" w:type="dxa"/>
      </w:tblPr>
      <w:tblGrid>
        <w:gridCol w:w="1900"/>
        <w:gridCol w:w="4650"/>
        <w:gridCol w:w="2810"/>
      </w:tblGrid>
      <w:tr>
        <w:trPr>
          <w:tblHeader w:val="true"/>
        </w:trPr>
        <w:tc>
          <w:tcPr>
            <w:tcW w:type="dxa" w:w="1900"/>
            <w:vAlign w:val="center"/>
            <w:shd w:fill="0B2545"/>
            <w:tcMar>
              <w:top w:w="90" w:type="dxa"/>
              <w:start w:w="120" w:type="dxa"/>
              <w:bottom w:w="90" w:type="dxa"/>
              <w:end w:w="120" w:type="dxa"/>
            </w:tcMar>
          </w:tcPr>
          <w:p>
            <w:pPr>
              <w:spacing w:after="0"/>
            </w:pPr>
            <w:r/>
            <w:r>
              <w:rPr>
                <w:rFonts w:ascii="Aptos" w:hAnsi="Aptos"/>
                <w:b/>
                <w:color w:val="FFFFFF"/>
                <w:sz w:val="14"/>
              </w:rPr>
              <w:t>KPI</w:t>
            </w:r>
          </w:p>
        </w:tc>
        <w:tc>
          <w:tcPr>
            <w:tcW w:type="dxa" w:w="4650"/>
            <w:shd w:fill="0B2545"/>
            <w:tcMar>
              <w:top w:w="90" w:type="dxa"/>
              <w:start w:w="120" w:type="dxa"/>
              <w:bottom w:w="90" w:type="dxa"/>
              <w:end w:w="120" w:type="dxa"/>
            </w:tcMar>
          </w:tcPr>
          <w:p>
            <w:pPr>
              <w:spacing w:after="0"/>
            </w:pPr>
            <w:r/>
            <w:r>
              <w:rPr>
                <w:rFonts w:ascii="Aptos" w:hAnsi="Aptos"/>
                <w:b/>
                <w:color w:val="FFFFFF"/>
                <w:sz w:val="14"/>
              </w:rPr>
              <w:t>Calculation</w:t>
            </w:r>
          </w:p>
        </w:tc>
        <w:tc>
          <w:tcPr>
            <w:tcW w:type="dxa" w:w="2810"/>
            <w:shd w:fill="0B2545"/>
            <w:tcMar>
              <w:top w:w="90" w:type="dxa"/>
              <w:start w:w="120" w:type="dxa"/>
              <w:bottom w:w="90" w:type="dxa"/>
              <w:end w:w="120" w:type="dxa"/>
            </w:tcMar>
          </w:tcPr>
          <w:p>
            <w:pPr>
              <w:spacing w:after="0"/>
            </w:pPr>
            <w:r/>
            <w:r>
              <w:rPr>
                <w:rFonts w:ascii="Aptos" w:hAnsi="Aptos"/>
                <w:b/>
                <w:color w:val="FFFFFF"/>
                <w:sz w:val="14"/>
              </w:rPr>
              <w:t>Guardrail</w:t>
            </w:r>
          </w:p>
        </w:tc>
      </w:tr>
      <w:tr>
        <w:tc>
          <w:tcPr>
            <w:tcW w:type="dxa" w:w="1900"/>
            <w:vAlign w:val="top"/>
            <w:tcMar>
              <w:top w:w="90" w:type="dxa"/>
              <w:start w:w="120" w:type="dxa"/>
              <w:bottom w:w="90" w:type="dxa"/>
              <w:end w:w="120" w:type="dxa"/>
            </w:tcMar>
          </w:tcPr>
          <w:p>
            <w:pPr>
              <w:spacing w:after="0" w:line="250" w:lineRule="auto"/>
            </w:pPr>
            <w:r/>
            <w:r>
              <w:rPr>
                <w:rFonts w:ascii="Aptos" w:hAnsi="Aptos"/>
                <w:b w:val="0"/>
                <w:color w:val="1D2433"/>
                <w:sz w:val="14"/>
              </w:rPr>
              <w:t>Identification rate</w:t>
            </w:r>
          </w:p>
        </w:tc>
        <w:tc>
          <w:tcPr>
            <w:tcW w:type="dxa" w:w="4650"/>
            <w:vAlign w:val="top"/>
            <w:tcMar>
              <w:top w:w="90" w:type="dxa"/>
              <w:start w:w="120" w:type="dxa"/>
              <w:bottom w:w="90" w:type="dxa"/>
              <w:end w:w="120" w:type="dxa"/>
            </w:tcMar>
          </w:tcPr>
          <w:p>
            <w:pPr>
              <w:spacing w:after="0" w:line="250" w:lineRule="auto"/>
            </w:pPr>
            <w:r/>
            <w:r>
              <w:rPr>
                <w:rFonts w:ascii="Aptos" w:hAnsi="Aptos"/>
                <w:b w:val="0"/>
                <w:color w:val="1D2433"/>
                <w:sz w:val="14"/>
              </w:rPr>
              <w:t>Unique eligible transactions linked to a verified household / all eligible transactions.</w:t>
            </w:r>
          </w:p>
        </w:tc>
        <w:tc>
          <w:tcPr>
            <w:tcW w:type="dxa" w:w="2810"/>
            <w:vAlign w:val="top"/>
            <w:tcMar>
              <w:top w:w="90" w:type="dxa"/>
              <w:start w:w="120" w:type="dxa"/>
              <w:bottom w:w="90" w:type="dxa"/>
              <w:end w:w="120" w:type="dxa"/>
            </w:tcMar>
          </w:tcPr>
          <w:p>
            <w:pPr>
              <w:spacing w:after="0" w:line="250" w:lineRule="auto"/>
            </w:pPr>
            <w:r/>
            <w:r>
              <w:rPr>
                <w:rFonts w:ascii="Aptos" w:hAnsi="Aptos"/>
                <w:b w:val="0"/>
                <w:color w:val="1D2433"/>
                <w:sz w:val="14"/>
              </w:rPr>
              <w:t>No coercive consent; staff cannot fabricate identities.</w:t>
            </w:r>
          </w:p>
        </w:tc>
      </w:tr>
      <w:tr>
        <w:tc>
          <w:tcPr>
            <w:tcW w:type="dxa" w:w="1900"/>
            <w:vAlign w:val="top"/>
            <w:shd w:fill="F6F8FB"/>
            <w:tcMar>
              <w:top w:w="90" w:type="dxa"/>
              <w:start w:w="120" w:type="dxa"/>
              <w:bottom w:w="90" w:type="dxa"/>
              <w:end w:w="120" w:type="dxa"/>
            </w:tcMar>
          </w:tcPr>
          <w:p>
            <w:pPr>
              <w:spacing w:after="0" w:line="250" w:lineRule="auto"/>
            </w:pPr>
            <w:r/>
            <w:r>
              <w:rPr>
                <w:rFonts w:ascii="Aptos" w:hAnsi="Aptos"/>
                <w:b w:val="0"/>
                <w:color w:val="1D2433"/>
                <w:sz w:val="14"/>
              </w:rPr>
              <w:t>30/60/90-day repeat rate</w:t>
            </w:r>
          </w:p>
        </w:tc>
        <w:tc>
          <w:tcPr>
            <w:tcW w:type="dxa" w:w="4650"/>
            <w:vAlign w:val="top"/>
            <w:shd w:fill="F6F8FB"/>
            <w:tcMar>
              <w:top w:w="90" w:type="dxa"/>
              <w:start w:w="120" w:type="dxa"/>
              <w:bottom w:w="90" w:type="dxa"/>
              <w:end w:w="120" w:type="dxa"/>
            </w:tcMar>
          </w:tcPr>
          <w:p>
            <w:pPr>
              <w:spacing w:after="0" w:line="250" w:lineRule="auto"/>
            </w:pPr>
            <w:r/>
            <w:r>
              <w:rPr>
                <w:rFonts w:ascii="Aptos" w:hAnsi="Aptos"/>
                <w:b w:val="0"/>
                <w:color w:val="1D2433"/>
                <w:sz w:val="14"/>
              </w:rPr>
              <w:t>Households with a subsequent eligible visit in the window / eligible first visits.</w:t>
            </w:r>
          </w:p>
        </w:tc>
        <w:tc>
          <w:tcPr>
            <w:tcW w:type="dxa" w:w="2810"/>
            <w:vAlign w:val="top"/>
            <w:shd w:fill="F6F8FB"/>
            <w:tcMar>
              <w:top w:w="90" w:type="dxa"/>
              <w:start w:w="120" w:type="dxa"/>
              <w:bottom w:w="90" w:type="dxa"/>
              <w:end w:w="120" w:type="dxa"/>
            </w:tcMar>
          </w:tcPr>
          <w:p>
            <w:pPr>
              <w:spacing w:after="0" w:line="250" w:lineRule="auto"/>
            </w:pPr>
            <w:r/>
            <w:r>
              <w:rPr>
                <w:rFonts w:ascii="Aptos" w:hAnsi="Aptos"/>
                <w:b w:val="0"/>
                <w:color w:val="1D2433"/>
                <w:sz w:val="14"/>
              </w:rPr>
              <w:t>Report by cohort, park, product and acquisition source.</w:t>
            </w:r>
          </w:p>
        </w:tc>
      </w:tr>
      <w:tr>
        <w:tc>
          <w:tcPr>
            <w:tcW w:type="dxa" w:w="1900"/>
            <w:vAlign w:val="top"/>
            <w:tcMar>
              <w:top w:w="90" w:type="dxa"/>
              <w:start w:w="120" w:type="dxa"/>
              <w:bottom w:w="90" w:type="dxa"/>
              <w:end w:w="120" w:type="dxa"/>
            </w:tcMar>
          </w:tcPr>
          <w:p>
            <w:pPr>
              <w:spacing w:after="0" w:line="250" w:lineRule="auto"/>
            </w:pPr>
            <w:r/>
            <w:r>
              <w:rPr>
                <w:rFonts w:ascii="Aptos" w:hAnsi="Aptos"/>
                <w:b w:val="0"/>
                <w:color w:val="1D2433"/>
                <w:sz w:val="14"/>
              </w:rPr>
              <w:t>Median inter-visit interval</w:t>
            </w:r>
          </w:p>
        </w:tc>
        <w:tc>
          <w:tcPr>
            <w:tcW w:type="dxa" w:w="4650"/>
            <w:vAlign w:val="top"/>
            <w:tcMar>
              <w:top w:w="90" w:type="dxa"/>
              <w:start w:w="120" w:type="dxa"/>
              <w:bottom w:w="90" w:type="dxa"/>
              <w:end w:w="120" w:type="dxa"/>
            </w:tcMar>
          </w:tcPr>
          <w:p>
            <w:pPr>
              <w:spacing w:after="0" w:line="250" w:lineRule="auto"/>
            </w:pPr>
            <w:r/>
            <w:r>
              <w:rPr>
                <w:rFonts w:ascii="Aptos" w:hAnsi="Aptos"/>
                <w:b w:val="0"/>
                <w:color w:val="1D2433"/>
                <w:sz w:val="14"/>
              </w:rPr>
              <w:t>Median days between eligible household visits.</w:t>
            </w:r>
          </w:p>
        </w:tc>
        <w:tc>
          <w:tcPr>
            <w:tcW w:type="dxa" w:w="2810"/>
            <w:vAlign w:val="top"/>
            <w:tcMar>
              <w:top w:w="90" w:type="dxa"/>
              <w:start w:w="120" w:type="dxa"/>
              <w:bottom w:w="90" w:type="dxa"/>
              <w:end w:w="120" w:type="dxa"/>
            </w:tcMar>
          </w:tcPr>
          <w:p>
            <w:pPr>
              <w:spacing w:after="0" w:line="250" w:lineRule="auto"/>
            </w:pPr>
            <w:r/>
            <w:r>
              <w:rPr>
                <w:rFonts w:ascii="Aptos" w:hAnsi="Aptos"/>
                <w:b w:val="0"/>
                <w:color w:val="1D2433"/>
                <w:sz w:val="14"/>
              </w:rPr>
              <w:t>Exclude reversals and staff/test activity.</w:t>
            </w:r>
          </w:p>
        </w:tc>
      </w:tr>
      <w:tr>
        <w:tc>
          <w:tcPr>
            <w:tcW w:type="dxa" w:w="1900"/>
            <w:vAlign w:val="top"/>
            <w:shd w:fill="F6F8FB"/>
            <w:tcMar>
              <w:top w:w="90" w:type="dxa"/>
              <w:start w:w="120" w:type="dxa"/>
              <w:bottom w:w="90" w:type="dxa"/>
              <w:end w:w="120" w:type="dxa"/>
            </w:tcMar>
          </w:tcPr>
          <w:p>
            <w:pPr>
              <w:spacing w:after="0" w:line="250" w:lineRule="auto"/>
            </w:pPr>
            <w:r/>
            <w:r>
              <w:rPr>
                <w:rFonts w:ascii="Aptos" w:hAnsi="Aptos"/>
                <w:b w:val="0"/>
                <w:color w:val="1D2433"/>
                <w:sz w:val="14"/>
              </w:rPr>
              <w:t>Incremental revenue</w:t>
            </w:r>
          </w:p>
        </w:tc>
        <w:tc>
          <w:tcPr>
            <w:tcW w:type="dxa" w:w="4650"/>
            <w:vAlign w:val="top"/>
            <w:shd w:fill="F6F8FB"/>
            <w:tcMar>
              <w:top w:w="90" w:type="dxa"/>
              <w:start w:w="120" w:type="dxa"/>
              <w:bottom w:w="90" w:type="dxa"/>
              <w:end w:w="120" w:type="dxa"/>
            </w:tcMar>
          </w:tcPr>
          <w:p>
            <w:pPr>
              <w:spacing w:after="0" w:line="250" w:lineRule="auto"/>
            </w:pPr>
            <w:r/>
            <w:r>
              <w:rPr>
                <w:rFonts w:ascii="Aptos" w:hAnsi="Aptos"/>
                <w:b w:val="0"/>
                <w:color w:val="1D2433"/>
                <w:sz w:val="14"/>
              </w:rPr>
              <w:t>Treatment outcome minus matched/holdout expected outcome.</w:t>
            </w:r>
          </w:p>
        </w:tc>
        <w:tc>
          <w:tcPr>
            <w:tcW w:type="dxa" w:w="2810"/>
            <w:vAlign w:val="top"/>
            <w:shd w:fill="F6F8FB"/>
            <w:tcMar>
              <w:top w:w="90" w:type="dxa"/>
              <w:start w:w="120" w:type="dxa"/>
              <w:bottom w:w="90" w:type="dxa"/>
              <w:end w:w="120" w:type="dxa"/>
            </w:tcMar>
          </w:tcPr>
          <w:p>
            <w:pPr>
              <w:spacing w:after="0" w:line="250" w:lineRule="auto"/>
            </w:pPr>
            <w:r/>
            <w:r>
              <w:rPr>
                <w:rFonts w:ascii="Aptos" w:hAnsi="Aptos"/>
                <w:b w:val="0"/>
                <w:color w:val="1D2433"/>
                <w:sz w:val="14"/>
              </w:rPr>
              <w:t>Attributed revenue must not be labelled incremental without experiment or defensible model.</w:t>
            </w:r>
          </w:p>
        </w:tc>
      </w:tr>
      <w:tr>
        <w:tc>
          <w:tcPr>
            <w:tcW w:type="dxa" w:w="1900"/>
            <w:vAlign w:val="top"/>
            <w:tcMar>
              <w:top w:w="90" w:type="dxa"/>
              <w:start w:w="120" w:type="dxa"/>
              <w:bottom w:w="90" w:type="dxa"/>
              <w:end w:w="120" w:type="dxa"/>
            </w:tcMar>
          </w:tcPr>
          <w:p>
            <w:pPr>
              <w:spacing w:after="0" w:line="250" w:lineRule="auto"/>
            </w:pPr>
            <w:r/>
            <w:r>
              <w:rPr>
                <w:rFonts w:ascii="Aptos" w:hAnsi="Aptos"/>
                <w:b w:val="0"/>
                <w:color w:val="1D2433"/>
                <w:sz w:val="14"/>
              </w:rPr>
              <w:t>Reward ROI</w:t>
            </w:r>
          </w:p>
        </w:tc>
        <w:tc>
          <w:tcPr>
            <w:tcW w:type="dxa" w:w="4650"/>
            <w:vAlign w:val="top"/>
            <w:tcMar>
              <w:top w:w="90" w:type="dxa"/>
              <w:start w:w="120" w:type="dxa"/>
              <w:bottom w:w="90" w:type="dxa"/>
              <w:end w:w="120" w:type="dxa"/>
            </w:tcMar>
          </w:tcPr>
          <w:p>
            <w:pPr>
              <w:spacing w:after="0" w:line="250" w:lineRule="auto"/>
            </w:pPr>
            <w:r/>
            <w:r>
              <w:rPr>
                <w:rFonts w:ascii="Aptos" w:hAnsi="Aptos"/>
                <w:b w:val="0"/>
                <w:color w:val="1D2433"/>
                <w:sz w:val="14"/>
              </w:rPr>
              <w:t>(Incremental contribution − reward cost − communication cost) / reward cost.</w:t>
            </w:r>
          </w:p>
        </w:tc>
        <w:tc>
          <w:tcPr>
            <w:tcW w:type="dxa" w:w="2810"/>
            <w:vAlign w:val="top"/>
            <w:tcMar>
              <w:top w:w="90" w:type="dxa"/>
              <w:start w:w="120" w:type="dxa"/>
              <w:bottom w:w="90" w:type="dxa"/>
              <w:end w:w="120" w:type="dxa"/>
            </w:tcMar>
          </w:tcPr>
          <w:p>
            <w:pPr>
              <w:spacing w:after="0" w:line="250" w:lineRule="auto"/>
            </w:pPr>
            <w:r/>
            <w:r>
              <w:rPr>
                <w:rFonts w:ascii="Aptos" w:hAnsi="Aptos"/>
                <w:b w:val="0"/>
                <w:color w:val="1D2433"/>
                <w:sz w:val="14"/>
              </w:rPr>
              <w:t>Use contribution margin, not gross revenue alone.</w:t>
            </w:r>
          </w:p>
        </w:tc>
      </w:tr>
      <w:tr>
        <w:tc>
          <w:tcPr>
            <w:tcW w:type="dxa" w:w="1900"/>
            <w:vAlign w:val="top"/>
            <w:shd w:fill="F6F8FB"/>
            <w:tcMar>
              <w:top w:w="90" w:type="dxa"/>
              <w:start w:w="120" w:type="dxa"/>
              <w:bottom w:w="90" w:type="dxa"/>
              <w:end w:w="120" w:type="dxa"/>
            </w:tcMar>
          </w:tcPr>
          <w:p>
            <w:pPr>
              <w:spacing w:after="0" w:line="250" w:lineRule="auto"/>
            </w:pPr>
            <w:r/>
            <w:r>
              <w:rPr>
                <w:rFonts w:ascii="Aptos" w:hAnsi="Aptos"/>
                <w:b w:val="0"/>
                <w:color w:val="1D2433"/>
                <w:sz w:val="14"/>
              </w:rPr>
              <w:t>Redemption rate</w:t>
            </w:r>
          </w:p>
        </w:tc>
        <w:tc>
          <w:tcPr>
            <w:tcW w:type="dxa" w:w="4650"/>
            <w:vAlign w:val="top"/>
            <w:shd w:fill="F6F8FB"/>
            <w:tcMar>
              <w:top w:w="90" w:type="dxa"/>
              <w:start w:w="120" w:type="dxa"/>
              <w:bottom w:w="90" w:type="dxa"/>
              <w:end w:w="120" w:type="dxa"/>
            </w:tcMar>
          </w:tcPr>
          <w:p>
            <w:pPr>
              <w:spacing w:after="0" w:line="250" w:lineRule="auto"/>
            </w:pPr>
            <w:r/>
            <w:r>
              <w:rPr>
                <w:rFonts w:ascii="Aptos" w:hAnsi="Aptos"/>
                <w:b w:val="0"/>
                <w:color w:val="1D2433"/>
                <w:sz w:val="14"/>
              </w:rPr>
              <w:t>Redeemed rewards / issued eligible rewards.</w:t>
            </w:r>
          </w:p>
        </w:tc>
        <w:tc>
          <w:tcPr>
            <w:tcW w:type="dxa" w:w="2810"/>
            <w:vAlign w:val="top"/>
            <w:shd w:fill="F6F8FB"/>
            <w:tcMar>
              <w:top w:w="90" w:type="dxa"/>
              <w:start w:w="120" w:type="dxa"/>
              <w:bottom w:w="90" w:type="dxa"/>
              <w:end w:w="120" w:type="dxa"/>
            </w:tcMar>
          </w:tcPr>
          <w:p>
            <w:pPr>
              <w:spacing w:after="0" w:line="250" w:lineRule="auto"/>
            </w:pPr>
            <w:r/>
            <w:r>
              <w:rPr>
                <w:rFonts w:ascii="Aptos" w:hAnsi="Aptos"/>
                <w:b w:val="0"/>
                <w:color w:val="1D2433"/>
                <w:sz w:val="14"/>
              </w:rPr>
              <w:t>Also track expiry, cost and fraud.</w:t>
            </w:r>
          </w:p>
        </w:tc>
      </w:tr>
      <w:tr>
        <w:tc>
          <w:tcPr>
            <w:tcW w:type="dxa" w:w="1900"/>
            <w:vAlign w:val="top"/>
            <w:tcMar>
              <w:top w:w="90" w:type="dxa"/>
              <w:start w:w="120" w:type="dxa"/>
              <w:bottom w:w="90" w:type="dxa"/>
              <w:end w:w="120" w:type="dxa"/>
            </w:tcMar>
          </w:tcPr>
          <w:p>
            <w:pPr>
              <w:spacing w:after="0" w:line="250" w:lineRule="auto"/>
            </w:pPr>
            <w:r/>
            <w:r>
              <w:rPr>
                <w:rFonts w:ascii="Aptos" w:hAnsi="Aptos"/>
                <w:b w:val="0"/>
                <w:color w:val="1D2433"/>
                <w:sz w:val="14"/>
              </w:rPr>
              <w:t>Cross-location rate</w:t>
            </w:r>
          </w:p>
        </w:tc>
        <w:tc>
          <w:tcPr>
            <w:tcW w:type="dxa" w:w="4650"/>
            <w:vAlign w:val="top"/>
            <w:tcMar>
              <w:top w:w="90" w:type="dxa"/>
              <w:start w:w="120" w:type="dxa"/>
              <w:bottom w:w="90" w:type="dxa"/>
              <w:end w:w="120" w:type="dxa"/>
            </w:tcMar>
          </w:tcPr>
          <w:p>
            <w:pPr>
              <w:spacing w:after="0" w:line="250" w:lineRule="auto"/>
            </w:pPr>
            <w:r/>
            <w:r>
              <w:rPr>
                <w:rFonts w:ascii="Aptos" w:hAnsi="Aptos"/>
                <w:b w:val="0"/>
                <w:color w:val="1D2433"/>
                <w:sz w:val="14"/>
              </w:rPr>
              <w:t>Households using more than one park / active households.</w:t>
            </w:r>
          </w:p>
        </w:tc>
        <w:tc>
          <w:tcPr>
            <w:tcW w:type="dxa" w:w="2810"/>
            <w:vAlign w:val="top"/>
            <w:tcMar>
              <w:top w:w="90" w:type="dxa"/>
              <w:start w:w="120" w:type="dxa"/>
              <w:bottom w:w="90" w:type="dxa"/>
              <w:end w:w="120" w:type="dxa"/>
            </w:tcMar>
          </w:tcPr>
          <w:p>
            <w:pPr>
              <w:spacing w:after="0" w:line="250" w:lineRule="auto"/>
            </w:pPr>
            <w:r/>
            <w:r>
              <w:rPr>
                <w:rFonts w:ascii="Aptos" w:hAnsi="Aptos"/>
                <w:b w:val="0"/>
                <w:color w:val="1D2433"/>
                <w:sz w:val="14"/>
              </w:rPr>
              <w:t>Do not expose cross-park personal data beyond role need.</w:t>
            </w:r>
          </w:p>
        </w:tc>
      </w:tr>
      <w:tr>
        <w:tc>
          <w:tcPr>
            <w:tcW w:type="dxa" w:w="1900"/>
            <w:vAlign w:val="top"/>
            <w:shd w:fill="F6F8FB"/>
            <w:tcMar>
              <w:top w:w="90" w:type="dxa"/>
              <w:start w:w="120" w:type="dxa"/>
              <w:bottom w:w="90" w:type="dxa"/>
              <w:end w:w="120" w:type="dxa"/>
            </w:tcMar>
          </w:tcPr>
          <w:p>
            <w:pPr>
              <w:spacing w:after="0" w:line="250" w:lineRule="auto"/>
            </w:pPr>
            <w:r/>
            <w:r>
              <w:rPr>
                <w:rFonts w:ascii="Aptos" w:hAnsi="Aptos"/>
                <w:b w:val="0"/>
                <w:color w:val="1D2433"/>
                <w:sz w:val="14"/>
              </w:rPr>
              <w:t>Cross-product rate</w:t>
            </w:r>
          </w:p>
        </w:tc>
        <w:tc>
          <w:tcPr>
            <w:tcW w:type="dxa" w:w="4650"/>
            <w:vAlign w:val="top"/>
            <w:shd w:fill="F6F8FB"/>
            <w:tcMar>
              <w:top w:w="90" w:type="dxa"/>
              <w:start w:w="120" w:type="dxa"/>
              <w:bottom w:w="90" w:type="dxa"/>
              <w:end w:w="120" w:type="dxa"/>
            </w:tcMar>
          </w:tcPr>
          <w:p>
            <w:pPr>
              <w:spacing w:after="0" w:line="250" w:lineRule="auto"/>
            </w:pPr>
            <w:r/>
            <w:r>
              <w:rPr>
                <w:rFonts w:ascii="Aptos" w:hAnsi="Aptos"/>
                <w:b w:val="0"/>
                <w:color w:val="1D2433"/>
                <w:sz w:val="14"/>
              </w:rPr>
              <w:t>Households using two or more product families / active households.</w:t>
            </w:r>
          </w:p>
        </w:tc>
        <w:tc>
          <w:tcPr>
            <w:tcW w:type="dxa" w:w="2810"/>
            <w:vAlign w:val="top"/>
            <w:shd w:fill="F6F8FB"/>
            <w:tcMar>
              <w:top w:w="90" w:type="dxa"/>
              <w:start w:w="120" w:type="dxa"/>
              <w:bottom w:w="90" w:type="dxa"/>
              <w:end w:w="120" w:type="dxa"/>
            </w:tcMar>
          </w:tcPr>
          <w:p>
            <w:pPr>
              <w:spacing w:after="0" w:line="250" w:lineRule="auto"/>
            </w:pPr>
            <w:r/>
            <w:r>
              <w:rPr>
                <w:rFonts w:ascii="Aptos" w:hAnsi="Aptos"/>
                <w:b w:val="0"/>
                <w:color w:val="1D2433"/>
                <w:sz w:val="14"/>
              </w:rPr>
              <w:t>Normalise for product availability by park.</w:t>
            </w:r>
          </w:p>
        </w:tc>
      </w:tr>
      <w:tr>
        <w:tc>
          <w:tcPr>
            <w:tcW w:type="dxa" w:w="1900"/>
            <w:vAlign w:val="top"/>
            <w:tcMar>
              <w:top w:w="90" w:type="dxa"/>
              <w:start w:w="120" w:type="dxa"/>
              <w:bottom w:w="90" w:type="dxa"/>
              <w:end w:w="120" w:type="dxa"/>
            </w:tcMar>
          </w:tcPr>
          <w:p>
            <w:pPr>
              <w:spacing w:after="0" w:line="250" w:lineRule="auto"/>
            </w:pPr>
            <w:r/>
            <w:r>
              <w:rPr>
                <w:rFonts w:ascii="Aptos" w:hAnsi="Aptos"/>
                <w:b w:val="0"/>
                <w:color w:val="1D2433"/>
                <w:sz w:val="14"/>
              </w:rPr>
              <w:t>Campaign complaint rate</w:t>
            </w:r>
          </w:p>
        </w:tc>
        <w:tc>
          <w:tcPr>
            <w:tcW w:type="dxa" w:w="4650"/>
            <w:vAlign w:val="top"/>
            <w:tcMar>
              <w:top w:w="90" w:type="dxa"/>
              <w:start w:w="120" w:type="dxa"/>
              <w:bottom w:w="90" w:type="dxa"/>
              <w:end w:w="120" w:type="dxa"/>
            </w:tcMar>
          </w:tcPr>
          <w:p>
            <w:pPr>
              <w:spacing w:after="0" w:line="250" w:lineRule="auto"/>
            </w:pPr>
            <w:r/>
            <w:r>
              <w:rPr>
                <w:rFonts w:ascii="Aptos" w:hAnsi="Aptos"/>
                <w:b w:val="0"/>
                <w:color w:val="1D2433"/>
                <w:sz w:val="14"/>
              </w:rPr>
              <w:t>Spam complaints + blocks + formal complaints / delivered communications.</w:t>
            </w:r>
          </w:p>
        </w:tc>
        <w:tc>
          <w:tcPr>
            <w:tcW w:type="dxa" w:w="2810"/>
            <w:vAlign w:val="top"/>
            <w:tcMar>
              <w:top w:w="90" w:type="dxa"/>
              <w:start w:w="120" w:type="dxa"/>
              <w:bottom w:w="90" w:type="dxa"/>
              <w:end w:w="120" w:type="dxa"/>
            </w:tcMar>
          </w:tcPr>
          <w:p>
            <w:pPr>
              <w:spacing w:after="0" w:line="250" w:lineRule="auto"/>
            </w:pPr>
            <w:r/>
            <w:r>
              <w:rPr>
                <w:rFonts w:ascii="Aptos" w:hAnsi="Aptos"/>
                <w:b w:val="0"/>
                <w:color w:val="1D2433"/>
                <w:sz w:val="14"/>
              </w:rPr>
              <w:t>Automatically pause channels/journeys at defined thresholds.</w:t>
            </w:r>
          </w:p>
        </w:tc>
      </w:tr>
      <w:tr>
        <w:tc>
          <w:tcPr>
            <w:tcW w:type="dxa" w:w="1900"/>
            <w:vAlign w:val="top"/>
            <w:shd w:fill="F6F8FB"/>
            <w:tcMar>
              <w:top w:w="90" w:type="dxa"/>
              <w:start w:w="120" w:type="dxa"/>
              <w:bottom w:w="90" w:type="dxa"/>
              <w:end w:w="120" w:type="dxa"/>
            </w:tcMar>
          </w:tcPr>
          <w:p>
            <w:pPr>
              <w:spacing w:after="0" w:line="250" w:lineRule="auto"/>
            </w:pPr>
            <w:r/>
            <w:r>
              <w:rPr>
                <w:rFonts w:ascii="Aptos" w:hAnsi="Aptos"/>
                <w:b w:val="0"/>
                <w:color w:val="1D2433"/>
                <w:sz w:val="14"/>
              </w:rPr>
              <w:t>Ledger reconciliation</w:t>
            </w:r>
          </w:p>
        </w:tc>
        <w:tc>
          <w:tcPr>
            <w:tcW w:type="dxa" w:w="4650"/>
            <w:vAlign w:val="top"/>
            <w:shd w:fill="F6F8FB"/>
            <w:tcMar>
              <w:top w:w="90" w:type="dxa"/>
              <w:start w:w="120" w:type="dxa"/>
              <w:bottom w:w="90" w:type="dxa"/>
              <w:end w:w="120" w:type="dxa"/>
            </w:tcMar>
          </w:tcPr>
          <w:p>
            <w:pPr>
              <w:spacing w:after="0" w:line="250" w:lineRule="auto"/>
            </w:pPr>
            <w:r/>
            <w:r>
              <w:rPr>
                <w:rFonts w:ascii="Aptos" w:hAnsi="Aptos"/>
                <w:b w:val="0"/>
                <w:color w:val="1D2433"/>
                <w:sz w:val="14"/>
              </w:rPr>
              <w:t>Unexplained monetary/value variance after reconciliation.</w:t>
            </w:r>
          </w:p>
        </w:tc>
        <w:tc>
          <w:tcPr>
            <w:tcW w:type="dxa" w:w="2810"/>
            <w:vAlign w:val="top"/>
            <w:shd w:fill="F6F8FB"/>
            <w:tcMar>
              <w:top w:w="90" w:type="dxa"/>
              <w:start w:w="120" w:type="dxa"/>
              <w:bottom w:w="90" w:type="dxa"/>
              <w:end w:w="120" w:type="dxa"/>
            </w:tcMar>
          </w:tcPr>
          <w:p>
            <w:pPr>
              <w:spacing w:after="0" w:line="250" w:lineRule="auto"/>
            </w:pPr>
            <w:r/>
            <w:r>
              <w:rPr>
                <w:rFonts w:ascii="Aptos" w:hAnsi="Aptos"/>
                <w:b w:val="0"/>
                <w:color w:val="1D2433"/>
                <w:sz w:val="14"/>
              </w:rPr>
              <w:t>Must be zero at daily close or assigned with incident status.</w:t>
            </w:r>
          </w:p>
        </w:tc>
      </w:tr>
      <w:tr>
        <w:tc>
          <w:tcPr>
            <w:tcW w:type="dxa" w:w="1900"/>
            <w:vAlign w:val="top"/>
            <w:tcMar>
              <w:top w:w="90" w:type="dxa"/>
              <w:start w:w="120" w:type="dxa"/>
              <w:bottom w:w="90" w:type="dxa"/>
              <w:end w:w="120" w:type="dxa"/>
            </w:tcMar>
          </w:tcPr>
          <w:p>
            <w:pPr>
              <w:spacing w:after="0" w:line="250" w:lineRule="auto"/>
            </w:pPr>
            <w:r/>
            <w:r>
              <w:rPr>
                <w:rFonts w:ascii="Aptos" w:hAnsi="Aptos"/>
                <w:b w:val="0"/>
                <w:color w:val="1D2433"/>
                <w:sz w:val="14"/>
              </w:rPr>
              <w:t>Platform availability</w:t>
            </w:r>
          </w:p>
        </w:tc>
        <w:tc>
          <w:tcPr>
            <w:tcW w:type="dxa" w:w="4650"/>
            <w:vAlign w:val="top"/>
            <w:tcMar>
              <w:top w:w="90" w:type="dxa"/>
              <w:start w:w="120" w:type="dxa"/>
              <w:bottom w:w="90" w:type="dxa"/>
              <w:end w:w="120" w:type="dxa"/>
            </w:tcMar>
          </w:tcPr>
          <w:p>
            <w:pPr>
              <w:spacing w:after="0" w:line="250" w:lineRule="auto"/>
            </w:pPr>
            <w:r/>
            <w:r>
              <w:rPr>
                <w:rFonts w:ascii="Aptos" w:hAnsi="Aptos"/>
                <w:b w:val="0"/>
                <w:color w:val="1D2433"/>
                <w:sz w:val="14"/>
              </w:rPr>
              <w:t>Successful eligible user requests / total eligible requests.</w:t>
            </w:r>
          </w:p>
        </w:tc>
        <w:tc>
          <w:tcPr>
            <w:tcW w:type="dxa" w:w="2810"/>
            <w:vAlign w:val="top"/>
            <w:tcMar>
              <w:top w:w="90" w:type="dxa"/>
              <w:start w:w="120" w:type="dxa"/>
              <w:bottom w:w="90" w:type="dxa"/>
              <w:end w:w="120" w:type="dxa"/>
            </w:tcMar>
          </w:tcPr>
          <w:p>
            <w:pPr>
              <w:spacing w:after="0" w:line="250" w:lineRule="auto"/>
            </w:pPr>
            <w:r/>
            <w:r>
              <w:rPr>
                <w:rFonts w:ascii="Aptos" w:hAnsi="Aptos"/>
                <w:b w:val="0"/>
                <w:color w:val="1D2433"/>
                <w:sz w:val="14"/>
              </w:rPr>
              <w:t>≥99.95% monthly for customer and redemption paths.</w:t>
            </w:r>
          </w:p>
        </w:tc>
      </w:tr>
    </w:tbl>
    <w:p>
      <w:pPr>
        <w:spacing w:after="20"/>
      </w:pPr>
    </w:p>
    <w:p>
      <w:pPr>
        <w:pStyle w:val="Heading2"/>
        <w:keepNext/>
      </w:pPr>
      <w:r>
        <w:t>3.3 Non-negotiable guardrails</w:t>
      </w:r>
    </w:p>
    <w:p>
      <w:pPr>
        <w:pStyle w:val="ListBullet"/>
      </w:pPr>
      <w:r>
        <w:rPr>
          <w:rFonts w:ascii="Aptos" w:hAnsi="Aptos"/>
          <w:b w:val="0"/>
          <w:color w:val="1D2433"/>
          <w:sz w:val="19"/>
        </w:rPr>
        <w:t>Children are not independently profiled for direct marketing; communications are directed to the authorised adult unless law and policy explicitly allow otherwise.</w:t>
      </w:r>
    </w:p>
    <w:p>
      <w:pPr>
        <w:pStyle w:val="ListBullet"/>
      </w:pPr>
      <w:r>
        <w:rPr>
          <w:rFonts w:ascii="Aptos" w:hAnsi="Aptos"/>
          <w:b w:val="0"/>
          <w:color w:val="1D2433"/>
          <w:sz w:val="19"/>
        </w:rPr>
        <w:t>No staff member can directly overwrite points, money, gift value, visit credits or entitlements.</w:t>
      </w:r>
    </w:p>
    <w:p>
      <w:pPr>
        <w:pStyle w:val="ListBullet"/>
      </w:pPr>
      <w:r>
        <w:rPr>
          <w:rFonts w:ascii="Aptos" w:hAnsi="Aptos"/>
          <w:b w:val="0"/>
          <w:color w:val="1D2433"/>
          <w:sz w:val="19"/>
        </w:rPr>
        <w:t>No campaign may send without a valid purpose, applicable consent/legal basis, frequency policy and auditable audience snapshot.</w:t>
      </w:r>
    </w:p>
    <w:p>
      <w:pPr>
        <w:pStyle w:val="ListBullet"/>
      </w:pPr>
      <w:r>
        <w:rPr>
          <w:rFonts w:ascii="Aptos" w:hAnsi="Aptos"/>
          <w:b w:val="0"/>
          <w:color w:val="1D2433"/>
          <w:sz w:val="19"/>
        </w:rPr>
        <w:t>No redemption succeeds twice for the same idempotency key, voucher, reward instance or entitlement use.</w:t>
      </w:r>
    </w:p>
    <w:p>
      <w:pPr>
        <w:pStyle w:val="ListBullet"/>
      </w:pPr>
      <w:r>
        <w:rPr>
          <w:rFonts w:ascii="Aptos" w:hAnsi="Aptos"/>
          <w:b w:val="0"/>
          <w:color w:val="1D2433"/>
          <w:sz w:val="19"/>
        </w:rPr>
        <w:t>No production release is accepted without tested backup restoration, key rotation, monitoring, runbooks and rollback.</w:t>
      </w:r>
    </w:p>
    <w:p>
      <w:pPr>
        <w:pStyle w:val="ListBullet"/>
      </w:pPr>
      <w:r>
        <w:rPr>
          <w:rFonts w:ascii="Aptos" w:hAnsi="Aptos"/>
          <w:b w:val="0"/>
          <w:color w:val="1D2433"/>
          <w:sz w:val="19"/>
        </w:rPr>
        <w:t>No analytics dashboard may silently combine estimated, attributed and finance-reconciled revenue.</w:t>
      </w:r>
    </w:p>
    <w:p>
      <w:pPr>
        <w:pStyle w:val="Heading1"/>
        <w:keepNext/>
      </w:pPr>
      <w:r>
        <w:t>4. Scope of the completed production system</w:t>
      </w:r>
    </w:p>
    <w:p>
      <w:pPr>
        <w:pStyle w:val="Heading2"/>
        <w:keepNext/>
      </w:pPr>
      <w:r>
        <w:t>4.1 In scope</w:t>
      </w:r>
    </w:p>
    <w:p>
      <w:pPr>
        <w:pStyle w:val="ListBullet"/>
      </w:pPr>
      <w:r>
        <w:rPr>
          <w:rFonts w:ascii="Aptos" w:hAnsi="Aptos"/>
          <w:b w:val="0"/>
          <w:color w:val="1D2433"/>
          <w:sz w:val="19"/>
        </w:rPr>
        <w:t>Customer registration, authentication, account recovery, household and dependant management.</w:t>
      </w:r>
    </w:p>
    <w:p>
      <w:pPr>
        <w:pStyle w:val="ListBullet"/>
      </w:pPr>
      <w:r>
        <w:rPr>
          <w:rFonts w:ascii="Aptos" w:hAnsi="Aptos"/>
          <w:b w:val="0"/>
          <w:color w:val="1D2433"/>
          <w:sz w:val="19"/>
        </w:rPr>
        <w:t>Verified email and telephone channels; social login only if approved by security and privacy review.</w:t>
      </w:r>
    </w:p>
    <w:p>
      <w:pPr>
        <w:pStyle w:val="ListBullet"/>
      </w:pPr>
      <w:r>
        <w:rPr>
          <w:rFonts w:ascii="Aptos" w:hAnsi="Aptos"/>
          <w:b w:val="0"/>
          <w:color w:val="1D2433"/>
          <w:sz w:val="19"/>
        </w:rPr>
        <w:t>Quantum Club member card in responsive web/PWA, Apple Wallet and Google Wallet.</w:t>
      </w:r>
    </w:p>
    <w:p>
      <w:pPr>
        <w:pStyle w:val="ListBullet"/>
      </w:pPr>
      <w:r>
        <w:rPr>
          <w:rFonts w:ascii="Aptos" w:hAnsi="Aptos"/>
          <w:b w:val="0"/>
          <w:color w:val="1D2433"/>
          <w:sz w:val="19"/>
        </w:rPr>
        <w:t>Rotating QR credentials and controlled member lookup.</w:t>
      </w:r>
    </w:p>
    <w:p>
      <w:pPr>
        <w:pStyle w:val="ListBullet"/>
      </w:pPr>
      <w:r>
        <w:rPr>
          <w:rFonts w:ascii="Aptos" w:hAnsi="Aptos"/>
          <w:b w:val="0"/>
          <w:color w:val="1D2433"/>
          <w:sz w:val="19"/>
        </w:rPr>
        <w:t>Loyalty ledger for points, stamps/visits, rewards, promotional credits and non-monetary entitlements.</w:t>
      </w:r>
    </w:p>
    <w:p>
      <w:pPr>
        <w:pStyle w:val="ListBullet"/>
      </w:pPr>
      <w:r>
        <w:rPr>
          <w:rFonts w:ascii="Aptos" w:hAnsi="Aptos"/>
          <w:b w:val="0"/>
          <w:color w:val="1D2433"/>
          <w:sz w:val="19"/>
        </w:rPr>
        <w:t>Separate monetary ledger for gift cards, stored value and refunds/credits where legally and financially applicable.</w:t>
      </w:r>
    </w:p>
    <w:p>
      <w:pPr>
        <w:pStyle w:val="ListBullet"/>
      </w:pPr>
      <w:r>
        <w:rPr>
          <w:rFonts w:ascii="Aptos" w:hAnsi="Aptos"/>
          <w:b w:val="0"/>
          <w:color w:val="1D2433"/>
          <w:sz w:val="19"/>
        </w:rPr>
        <w:t>Tier, challenge, streak, mission and badge engine.</w:t>
      </w:r>
    </w:p>
    <w:p>
      <w:pPr>
        <w:pStyle w:val="ListBullet"/>
      </w:pPr>
      <w:r>
        <w:rPr>
          <w:rFonts w:ascii="Aptos" w:hAnsi="Aptos"/>
          <w:b w:val="0"/>
          <w:color w:val="1D2433"/>
          <w:sz w:val="19"/>
        </w:rPr>
        <w:t>Reward catalogue, eligibility, reservation, redemption, stock, expiry and reversal.</w:t>
      </w:r>
    </w:p>
    <w:p>
      <w:pPr>
        <w:pStyle w:val="ListBullet"/>
      </w:pPr>
      <w:r>
        <w:rPr>
          <w:rFonts w:ascii="Aptos" w:hAnsi="Aptos"/>
          <w:b w:val="0"/>
          <w:color w:val="1D2433"/>
          <w:sz w:val="19"/>
        </w:rPr>
        <w:t>Vouchers, coupons, promotional codes, gift cards and transferable gifting flows.</w:t>
      </w:r>
    </w:p>
    <w:p>
      <w:pPr>
        <w:pStyle w:val="ListBullet"/>
      </w:pPr>
      <w:r>
        <w:rPr>
          <w:rFonts w:ascii="Aptos" w:hAnsi="Aptos"/>
          <w:b w:val="0"/>
          <w:color w:val="1D2433"/>
          <w:sz w:val="19"/>
        </w:rPr>
        <w:t>Memberships, recurring subscriptions and prepaid multipass products.</w:t>
      </w:r>
    </w:p>
    <w:p>
      <w:pPr>
        <w:pStyle w:val="ListBullet"/>
      </w:pPr>
      <w:r>
        <w:rPr>
          <w:rFonts w:ascii="Aptos" w:hAnsi="Aptos"/>
          <w:b w:val="0"/>
          <w:color w:val="1D2433"/>
          <w:sz w:val="19"/>
        </w:rPr>
        <w:t>Referral links/codes and qualified referral rewards.</w:t>
      </w:r>
    </w:p>
    <w:p>
      <w:pPr>
        <w:pStyle w:val="ListBullet"/>
      </w:pPr>
      <w:r>
        <w:rPr>
          <w:rFonts w:ascii="Aptos" w:hAnsi="Aptos"/>
          <w:b w:val="0"/>
          <w:color w:val="1D2433"/>
          <w:sz w:val="19"/>
        </w:rPr>
        <w:t>Visit, booking, transaction, attendance and product-event ingestion.</w:t>
      </w:r>
    </w:p>
    <w:p>
      <w:pPr>
        <w:pStyle w:val="ListBullet"/>
      </w:pPr>
      <w:r>
        <w:rPr>
          <w:rFonts w:ascii="Aptos" w:hAnsi="Aptos"/>
          <w:b w:val="0"/>
          <w:color w:val="1D2433"/>
          <w:sz w:val="19"/>
        </w:rPr>
        <w:t>AppyBook integration adapter plus generic POS/payment/import adapter framework.</w:t>
      </w:r>
    </w:p>
    <w:p>
      <w:pPr>
        <w:pStyle w:val="ListBullet"/>
      </w:pPr>
      <w:r>
        <w:rPr>
          <w:rFonts w:ascii="Aptos" w:hAnsi="Aptos"/>
          <w:b w:val="0"/>
          <w:color w:val="1D2433"/>
          <w:sz w:val="19"/>
        </w:rPr>
        <w:t>Reception/POS scanner PWA, manager approval, offline bounded operations and reconciliation.</w:t>
      </w:r>
    </w:p>
    <w:p>
      <w:pPr>
        <w:pStyle w:val="ListBullet"/>
      </w:pPr>
      <w:r>
        <w:rPr>
          <w:rFonts w:ascii="Aptos" w:hAnsi="Aptos"/>
          <w:b w:val="0"/>
          <w:color w:val="1D2433"/>
          <w:sz w:val="19"/>
        </w:rPr>
        <w:t>Campaign segmentation, templates, orchestration, scheduling, experiments and channel governance.</w:t>
      </w:r>
    </w:p>
    <w:p>
      <w:pPr>
        <w:pStyle w:val="ListBullet"/>
      </w:pPr>
      <w:r>
        <w:rPr>
          <w:rFonts w:ascii="Aptos" w:hAnsi="Aptos"/>
          <w:b w:val="0"/>
          <w:color w:val="1D2433"/>
          <w:sz w:val="19"/>
        </w:rPr>
        <w:t>Email, SMS, WhatsApp, web push and wallet update/notification integrations, each optional by configuration but production-capable.</w:t>
      </w:r>
    </w:p>
    <w:p>
      <w:pPr>
        <w:pStyle w:val="ListBullet"/>
      </w:pPr>
      <w:r>
        <w:rPr>
          <w:rFonts w:ascii="Aptos" w:hAnsi="Aptos"/>
          <w:b w:val="0"/>
          <w:color w:val="1D2433"/>
          <w:sz w:val="19"/>
        </w:rPr>
        <w:t>Birthday, inactivity, post-visit, abandoned booking, upcoming entitlement, expiry, service recovery and lifecycle journeys.</w:t>
      </w:r>
    </w:p>
    <w:p>
      <w:pPr>
        <w:pStyle w:val="ListBullet"/>
      </w:pPr>
      <w:r>
        <w:rPr>
          <w:rFonts w:ascii="Aptos" w:hAnsi="Aptos"/>
          <w:b w:val="0"/>
          <w:color w:val="1D2433"/>
          <w:sz w:val="19"/>
        </w:rPr>
        <w:t>Customer preference and privacy centre.</w:t>
      </w:r>
    </w:p>
    <w:p>
      <w:pPr>
        <w:pStyle w:val="ListBullet"/>
      </w:pPr>
      <w:r>
        <w:rPr>
          <w:rFonts w:ascii="Aptos" w:hAnsi="Aptos"/>
          <w:b w:val="0"/>
          <w:color w:val="1D2433"/>
          <w:sz w:val="19"/>
        </w:rPr>
        <w:t>Admin console for configuration, support, operations, finance, marketing and data protection.</w:t>
      </w:r>
    </w:p>
    <w:p>
      <w:pPr>
        <w:pStyle w:val="ListBullet"/>
      </w:pPr>
      <w:r>
        <w:rPr>
          <w:rFonts w:ascii="Aptos" w:hAnsi="Aptos"/>
          <w:b w:val="0"/>
          <w:color w:val="1D2433"/>
          <w:sz w:val="19"/>
        </w:rPr>
        <w:t>Dashboards, scheduled reports, exports, finance reconciliation and audit search.</w:t>
      </w:r>
    </w:p>
    <w:p>
      <w:pPr>
        <w:pStyle w:val="ListBullet"/>
      </w:pPr>
      <w:r>
        <w:rPr>
          <w:rFonts w:ascii="Aptos" w:hAnsi="Aptos"/>
          <w:b w:val="0"/>
          <w:color w:val="1D2433"/>
          <w:sz w:val="19"/>
        </w:rPr>
        <w:t>Fraud/risk rules, abuse investigation, staff/device controls and anomaly alerts.</w:t>
      </w:r>
    </w:p>
    <w:p>
      <w:pPr>
        <w:pStyle w:val="ListBullet"/>
      </w:pPr>
      <w:r>
        <w:rPr>
          <w:rFonts w:ascii="Aptos" w:hAnsi="Aptos"/>
          <w:b w:val="0"/>
          <w:color w:val="1D2433"/>
          <w:sz w:val="19"/>
        </w:rPr>
        <w:t>Multi-location, multi-language, multi-time-zone-ready and currency-safe foundations.</w:t>
      </w:r>
    </w:p>
    <w:p>
      <w:pPr>
        <w:pStyle w:val="ListBullet"/>
      </w:pPr>
      <w:r>
        <w:rPr>
          <w:rFonts w:ascii="Aptos" w:hAnsi="Aptos"/>
          <w:b w:val="0"/>
          <w:color w:val="1D2433"/>
          <w:sz w:val="19"/>
        </w:rPr>
        <w:t>Production infrastructure requirements, observability, backup, disaster recovery and operational runbooks.</w:t>
      </w:r>
    </w:p>
    <w:p>
      <w:pPr>
        <w:pStyle w:val="Heading2"/>
        <w:keepNext/>
      </w:pPr>
      <w:r>
        <w:t>4.2 Explicitly not a generic external SaaS</w:t>
      </w:r>
    </w:p>
    <w:p>
      <w:r>
        <w:rPr>
          <w:rFonts w:ascii="Aptos" w:hAnsi="Aptos"/>
          <w:b w:val="0"/>
          <w:i w:val="0"/>
          <w:color w:val="1D2433"/>
          <w:sz w:val="19"/>
        </w:rPr>
        <w:t>The platform is single-brand and internally owned. It must support multiple Quantum Park legal entities, parks and operational units if needed, but it must not include public merchant onboarding, reseller billing, white-label tenant customisation, agency subaccounts or third-party merchant marketplaces. This exclusion protects focus without removing any Quantum Park production capability.</w:t>
      </w:r>
    </w:p>
    <w:p>
      <w:pPr>
        <w:pStyle w:val="Heading2"/>
        <w:keepNext/>
      </w:pPr>
      <w:r>
        <w:t>4.3 External dependencies are not product deferrals</w:t>
      </w:r>
    </w:p>
    <w:p>
      <w:r>
        <w:rPr>
          <w:rFonts w:ascii="Aptos" w:hAnsi="Aptos"/>
          <w:b w:val="0"/>
          <w:i w:val="0"/>
          <w:color w:val="1D2433"/>
          <w:sz w:val="19"/>
        </w:rPr>
        <w:t>Provider credentials, commercial contracts and external API access are deployment inputs. The codebase must contain tested provider interfaces, local emulators, sandbox configuration, retry/reconciliation logic and production runbooks for each required dependency. If Quantum Park has not yet selected a vendor, the Architecture Pack must choose a primary provider and one documented replacement path. The product is not considered complete merely because a mock provider works.</w:t>
      </w:r>
    </w:p>
    <w:p>
      <w:pPr>
        <w:pStyle w:val="Heading1"/>
        <w:keepNext/>
      </w:pPr>
      <w:r>
        <w:t>5. Users, roles and permission model</w:t>
      </w:r>
    </w:p>
    <w:p>
      <w:pPr>
        <w:pStyle w:val="Heading2"/>
        <w:keepNext/>
      </w:pPr>
      <w:r>
        <w:t>5.1 Customer actors</w:t>
      </w:r>
    </w:p>
    <w:tbl>
      <w:tblPr>
        <w:tblStyle w:val="TableGrid"/>
        <w:tblW w:type="dxa" w:w="9360"/>
        <w:jc w:val="left"/>
        <w:tblLayout w:type="fixed"/>
        <w:tblLook w:firstColumn="1" w:firstRow="1" w:lastColumn="0" w:lastRow="0" w:noHBand="0" w:noVBand="1" w:val="04A0"/>
        <w:tblInd w:w="120" w:type="dxa"/>
      </w:tblPr>
      <w:tblGrid>
        <w:gridCol w:w="1900"/>
        <w:gridCol w:w="4630"/>
        <w:gridCol w:w="2830"/>
      </w:tblGrid>
      <w:tr>
        <w:trPr>
          <w:tblHeader w:val="true"/>
        </w:trPr>
        <w:tc>
          <w:tcPr>
            <w:tcW w:type="dxa" w:w="1900"/>
            <w:vAlign w:val="center"/>
            <w:shd w:fill="0B2545"/>
            <w:tcMar>
              <w:top w:w="90" w:type="dxa"/>
              <w:start w:w="120" w:type="dxa"/>
              <w:bottom w:w="90" w:type="dxa"/>
              <w:end w:w="120" w:type="dxa"/>
            </w:tcMar>
          </w:tcPr>
          <w:p>
            <w:pPr>
              <w:spacing w:after="0"/>
            </w:pPr>
            <w:r/>
            <w:r>
              <w:rPr>
                <w:rFonts w:ascii="Aptos" w:hAnsi="Aptos"/>
                <w:b/>
                <w:color w:val="FFFFFF"/>
                <w:sz w:val="15"/>
              </w:rPr>
              <w:t>Actor</w:t>
            </w:r>
          </w:p>
        </w:tc>
        <w:tc>
          <w:tcPr>
            <w:tcW w:type="dxa" w:w="4630"/>
            <w:shd w:fill="0B2545"/>
            <w:tcMar>
              <w:top w:w="90" w:type="dxa"/>
              <w:start w:w="120" w:type="dxa"/>
              <w:bottom w:w="90" w:type="dxa"/>
              <w:end w:w="120" w:type="dxa"/>
            </w:tcMar>
          </w:tcPr>
          <w:p>
            <w:pPr>
              <w:spacing w:after="0"/>
            </w:pPr>
            <w:r/>
            <w:r>
              <w:rPr>
                <w:rFonts w:ascii="Aptos" w:hAnsi="Aptos"/>
                <w:b/>
                <w:color w:val="FFFFFF"/>
                <w:sz w:val="15"/>
              </w:rPr>
              <w:t>Core needs</w:t>
            </w:r>
          </w:p>
        </w:tc>
        <w:tc>
          <w:tcPr>
            <w:tcW w:type="dxa" w:w="2830"/>
            <w:shd w:fill="0B2545"/>
            <w:tcMar>
              <w:top w:w="90" w:type="dxa"/>
              <w:start w:w="120" w:type="dxa"/>
              <w:bottom w:w="90" w:type="dxa"/>
              <w:end w:w="120" w:type="dxa"/>
            </w:tcMar>
          </w:tcPr>
          <w:p>
            <w:pPr>
              <w:spacing w:after="0"/>
            </w:pPr>
            <w:r/>
            <w:r>
              <w:rPr>
                <w:rFonts w:ascii="Aptos" w:hAnsi="Aptos"/>
                <w:b/>
                <w:color w:val="FFFFFF"/>
                <w:sz w:val="15"/>
              </w:rPr>
              <w:t>Restrictions</w:t>
            </w:r>
          </w:p>
        </w:tc>
      </w:tr>
      <w:tr>
        <w:tc>
          <w:tcPr>
            <w:tcW w:type="dxa" w:w="1900"/>
            <w:vAlign w:val="top"/>
            <w:tcMar>
              <w:top w:w="90" w:type="dxa"/>
              <w:start w:w="120" w:type="dxa"/>
              <w:bottom w:w="90" w:type="dxa"/>
              <w:end w:w="120" w:type="dxa"/>
            </w:tcMar>
          </w:tcPr>
          <w:p>
            <w:pPr>
              <w:spacing w:after="0" w:line="250" w:lineRule="auto"/>
            </w:pPr>
            <w:r/>
            <w:r>
              <w:rPr>
                <w:rFonts w:ascii="Aptos" w:hAnsi="Aptos"/>
                <w:b w:val="0"/>
                <w:color w:val="1D2433"/>
                <w:sz w:val="15"/>
              </w:rPr>
              <w:t>Household owner</w:t>
            </w:r>
          </w:p>
        </w:tc>
        <w:tc>
          <w:tcPr>
            <w:tcW w:type="dxa" w:w="4630"/>
            <w:vAlign w:val="top"/>
            <w:tcMar>
              <w:top w:w="90" w:type="dxa"/>
              <w:start w:w="120" w:type="dxa"/>
              <w:bottom w:w="90" w:type="dxa"/>
              <w:end w:w="120" w:type="dxa"/>
            </w:tcMar>
          </w:tcPr>
          <w:p>
            <w:pPr>
              <w:spacing w:after="0" w:line="250" w:lineRule="auto"/>
            </w:pPr>
            <w:r/>
            <w:r>
              <w:rPr>
                <w:rFonts w:ascii="Aptos" w:hAnsi="Aptos"/>
                <w:b w:val="0"/>
                <w:color w:val="1D2433"/>
                <w:sz w:val="15"/>
              </w:rPr>
              <w:t>Register, book-link, manage household, consent, balances, rewards, memberships, vouchers and communications.</w:t>
            </w:r>
          </w:p>
        </w:tc>
        <w:tc>
          <w:tcPr>
            <w:tcW w:type="dxa" w:w="2830"/>
            <w:vAlign w:val="top"/>
            <w:tcMar>
              <w:top w:w="90" w:type="dxa"/>
              <w:start w:w="120" w:type="dxa"/>
              <w:bottom w:w="90" w:type="dxa"/>
              <w:end w:w="120" w:type="dxa"/>
            </w:tcMar>
          </w:tcPr>
          <w:p>
            <w:pPr>
              <w:spacing w:after="0" w:line="250" w:lineRule="auto"/>
            </w:pPr>
            <w:r/>
            <w:r>
              <w:rPr>
                <w:rFonts w:ascii="Aptos" w:hAnsi="Aptos"/>
                <w:b w:val="0"/>
                <w:color w:val="1D2433"/>
                <w:sz w:val="15"/>
              </w:rPr>
              <w:t>Must be an adult; strong re-authentication for sensitive actions.</w:t>
            </w:r>
          </w:p>
        </w:tc>
      </w:tr>
      <w:tr>
        <w:tc>
          <w:tcPr>
            <w:tcW w:type="dxa" w:w="19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Household adult</w:t>
            </w:r>
          </w:p>
        </w:tc>
        <w:tc>
          <w:tcPr>
            <w:tcW w:type="dxa" w:w="4630"/>
            <w:vAlign w:val="top"/>
            <w:shd w:fill="F6F8FB"/>
            <w:tcMar>
              <w:top w:w="90" w:type="dxa"/>
              <w:start w:w="120" w:type="dxa"/>
              <w:bottom w:w="90" w:type="dxa"/>
              <w:end w:w="120" w:type="dxa"/>
            </w:tcMar>
          </w:tcPr>
          <w:p>
            <w:pPr>
              <w:spacing w:after="0" w:line="250" w:lineRule="auto"/>
            </w:pPr>
            <w:r/>
            <w:r>
              <w:rPr>
                <w:rFonts w:ascii="Aptos" w:hAnsi="Aptos"/>
                <w:b w:val="0"/>
                <w:color w:val="1D2433"/>
                <w:sz w:val="15"/>
              </w:rPr>
              <w:t>View and act within permissions granted by owner.</w:t>
            </w:r>
          </w:p>
        </w:tc>
        <w:tc>
          <w:tcPr>
            <w:tcW w:type="dxa" w:w="2830"/>
            <w:vAlign w:val="top"/>
            <w:shd w:fill="F6F8FB"/>
            <w:tcMar>
              <w:top w:w="90" w:type="dxa"/>
              <w:start w:w="120" w:type="dxa"/>
              <w:bottom w:w="90" w:type="dxa"/>
              <w:end w:w="120" w:type="dxa"/>
            </w:tcMar>
          </w:tcPr>
          <w:p>
            <w:pPr>
              <w:spacing w:after="0" w:line="250" w:lineRule="auto"/>
            </w:pPr>
            <w:r/>
            <w:r>
              <w:rPr>
                <w:rFonts w:ascii="Aptos" w:hAnsi="Aptos"/>
                <w:b w:val="0"/>
                <w:color w:val="1D2433"/>
                <w:sz w:val="15"/>
              </w:rPr>
              <w:t>Cannot change ownership or export/delete household unless authorised.</w:t>
            </w:r>
          </w:p>
        </w:tc>
      </w:tr>
      <w:tr>
        <w:tc>
          <w:tcPr>
            <w:tcW w:type="dxa" w:w="1900"/>
            <w:vAlign w:val="top"/>
            <w:tcMar>
              <w:top w:w="90" w:type="dxa"/>
              <w:start w:w="120" w:type="dxa"/>
              <w:bottom w:w="90" w:type="dxa"/>
              <w:end w:w="120" w:type="dxa"/>
            </w:tcMar>
          </w:tcPr>
          <w:p>
            <w:pPr>
              <w:spacing w:after="0" w:line="250" w:lineRule="auto"/>
            </w:pPr>
            <w:r/>
            <w:r>
              <w:rPr>
                <w:rFonts w:ascii="Aptos" w:hAnsi="Aptos"/>
                <w:b w:val="0"/>
                <w:color w:val="1D2433"/>
                <w:sz w:val="15"/>
              </w:rPr>
              <w:t>Dependant/participant</w:t>
            </w:r>
          </w:p>
        </w:tc>
        <w:tc>
          <w:tcPr>
            <w:tcW w:type="dxa" w:w="4630"/>
            <w:vAlign w:val="top"/>
            <w:tcMar>
              <w:top w:w="90" w:type="dxa"/>
              <w:start w:w="120" w:type="dxa"/>
              <w:bottom w:w="90" w:type="dxa"/>
              <w:end w:w="120" w:type="dxa"/>
            </w:tcMar>
          </w:tcPr>
          <w:p>
            <w:pPr>
              <w:spacing w:after="0" w:line="250" w:lineRule="auto"/>
            </w:pPr>
            <w:r/>
            <w:r>
              <w:rPr>
                <w:rFonts w:ascii="Aptos" w:hAnsi="Aptos"/>
                <w:b w:val="0"/>
                <w:color w:val="1D2433"/>
                <w:sz w:val="15"/>
              </w:rPr>
              <w:t>Receive attribution and age-appropriate participation benefits.</w:t>
            </w:r>
          </w:p>
        </w:tc>
        <w:tc>
          <w:tcPr>
            <w:tcW w:type="dxa" w:w="2830"/>
            <w:vAlign w:val="top"/>
            <w:tcMar>
              <w:top w:w="90" w:type="dxa"/>
              <w:start w:w="120" w:type="dxa"/>
              <w:bottom w:w="90" w:type="dxa"/>
              <w:end w:w="120" w:type="dxa"/>
            </w:tcMar>
          </w:tcPr>
          <w:p>
            <w:pPr>
              <w:spacing w:after="0" w:line="250" w:lineRule="auto"/>
            </w:pPr>
            <w:r/>
            <w:r>
              <w:rPr>
                <w:rFonts w:ascii="Aptos" w:hAnsi="Aptos"/>
                <w:b w:val="0"/>
                <w:color w:val="1D2433"/>
                <w:sz w:val="15"/>
              </w:rPr>
              <w:t>No independent marketing profile by default; limited or no direct login.</w:t>
            </w:r>
          </w:p>
        </w:tc>
      </w:tr>
      <w:tr>
        <w:tc>
          <w:tcPr>
            <w:tcW w:type="dxa" w:w="19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Independent adult member</w:t>
            </w:r>
          </w:p>
        </w:tc>
        <w:tc>
          <w:tcPr>
            <w:tcW w:type="dxa" w:w="4630"/>
            <w:vAlign w:val="top"/>
            <w:shd w:fill="F6F8FB"/>
            <w:tcMar>
              <w:top w:w="90" w:type="dxa"/>
              <w:start w:w="120" w:type="dxa"/>
              <w:bottom w:w="90" w:type="dxa"/>
              <w:end w:w="120" w:type="dxa"/>
            </w:tcMar>
          </w:tcPr>
          <w:p>
            <w:pPr>
              <w:spacing w:after="0" w:line="250" w:lineRule="auto"/>
            </w:pPr>
            <w:r/>
            <w:r>
              <w:rPr>
                <w:rFonts w:ascii="Aptos" w:hAnsi="Aptos"/>
                <w:b w:val="0"/>
                <w:color w:val="1D2433"/>
                <w:sz w:val="15"/>
              </w:rPr>
              <w:t>Use a personal account without a household/dependant structure.</w:t>
            </w:r>
          </w:p>
        </w:tc>
        <w:tc>
          <w:tcPr>
            <w:tcW w:type="dxa" w:w="2830"/>
            <w:vAlign w:val="top"/>
            <w:shd w:fill="F6F8FB"/>
            <w:tcMar>
              <w:top w:w="90" w:type="dxa"/>
              <w:start w:w="120" w:type="dxa"/>
              <w:bottom w:w="90" w:type="dxa"/>
              <w:end w:w="120" w:type="dxa"/>
            </w:tcMar>
          </w:tcPr>
          <w:p>
            <w:pPr>
              <w:spacing w:after="0" w:line="250" w:lineRule="auto"/>
            </w:pPr>
            <w:r/>
            <w:r>
              <w:rPr>
                <w:rFonts w:ascii="Aptos" w:hAnsi="Aptos"/>
                <w:b w:val="0"/>
                <w:color w:val="1D2433"/>
                <w:sz w:val="15"/>
              </w:rPr>
              <w:t>May later create/invite a household subject to merge controls.</w:t>
            </w:r>
          </w:p>
        </w:tc>
      </w:tr>
      <w:tr>
        <w:tc>
          <w:tcPr>
            <w:tcW w:type="dxa" w:w="1900"/>
            <w:vAlign w:val="top"/>
            <w:tcMar>
              <w:top w:w="90" w:type="dxa"/>
              <w:start w:w="120" w:type="dxa"/>
              <w:bottom w:w="90" w:type="dxa"/>
              <w:end w:w="120" w:type="dxa"/>
            </w:tcMar>
          </w:tcPr>
          <w:p>
            <w:pPr>
              <w:spacing w:after="0" w:line="250" w:lineRule="auto"/>
            </w:pPr>
            <w:r/>
            <w:r>
              <w:rPr>
                <w:rFonts w:ascii="Aptos" w:hAnsi="Aptos"/>
                <w:b w:val="0"/>
                <w:color w:val="1D2433"/>
                <w:sz w:val="15"/>
              </w:rPr>
              <w:t>Gift purchaser</w:t>
            </w:r>
          </w:p>
        </w:tc>
        <w:tc>
          <w:tcPr>
            <w:tcW w:type="dxa" w:w="4630"/>
            <w:vAlign w:val="top"/>
            <w:tcMar>
              <w:top w:w="90" w:type="dxa"/>
              <w:start w:w="120" w:type="dxa"/>
              <w:bottom w:w="90" w:type="dxa"/>
              <w:end w:w="120" w:type="dxa"/>
            </w:tcMar>
          </w:tcPr>
          <w:p>
            <w:pPr>
              <w:spacing w:after="0" w:line="250" w:lineRule="auto"/>
            </w:pPr>
            <w:r/>
            <w:r>
              <w:rPr>
                <w:rFonts w:ascii="Aptos" w:hAnsi="Aptos"/>
                <w:b w:val="0"/>
                <w:color w:val="1D2433"/>
                <w:sz w:val="15"/>
              </w:rPr>
              <w:t>Purchase and send a gift without becoming a full active member.</w:t>
            </w:r>
          </w:p>
        </w:tc>
        <w:tc>
          <w:tcPr>
            <w:tcW w:type="dxa" w:w="2830"/>
            <w:vAlign w:val="top"/>
            <w:tcMar>
              <w:top w:w="90" w:type="dxa"/>
              <w:start w:w="120" w:type="dxa"/>
              <w:bottom w:w="90" w:type="dxa"/>
              <w:end w:w="120" w:type="dxa"/>
            </w:tcMar>
          </w:tcPr>
          <w:p>
            <w:pPr>
              <w:spacing w:after="0" w:line="250" w:lineRule="auto"/>
            </w:pPr>
            <w:r/>
            <w:r>
              <w:rPr>
                <w:rFonts w:ascii="Aptos" w:hAnsi="Aptos"/>
                <w:b w:val="0"/>
                <w:color w:val="1D2433"/>
                <w:sz w:val="15"/>
              </w:rPr>
              <w:t>Minimal data and fraud controls; recipient claim required.</w:t>
            </w:r>
          </w:p>
        </w:tc>
      </w:tr>
      <w:tr>
        <w:tc>
          <w:tcPr>
            <w:tcW w:type="dxa" w:w="19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Group organiser</w:t>
            </w:r>
          </w:p>
        </w:tc>
        <w:tc>
          <w:tcPr>
            <w:tcW w:type="dxa" w:w="4630"/>
            <w:vAlign w:val="top"/>
            <w:shd w:fill="F6F8FB"/>
            <w:tcMar>
              <w:top w:w="90" w:type="dxa"/>
              <w:start w:w="120" w:type="dxa"/>
              <w:bottom w:w="90" w:type="dxa"/>
              <w:end w:w="120" w:type="dxa"/>
            </w:tcMar>
          </w:tcPr>
          <w:p>
            <w:pPr>
              <w:spacing w:after="0" w:line="250" w:lineRule="auto"/>
            </w:pPr>
            <w:r/>
            <w:r>
              <w:rPr>
                <w:rFonts w:ascii="Aptos" w:hAnsi="Aptos"/>
                <w:b w:val="0"/>
                <w:color w:val="1D2433"/>
                <w:sz w:val="15"/>
              </w:rPr>
              <w:t>Manage a school, corporate, camp or group relationship and attendees where appropriate.</w:t>
            </w:r>
          </w:p>
        </w:tc>
        <w:tc>
          <w:tcPr>
            <w:tcW w:type="dxa" w:w="2830"/>
            <w:vAlign w:val="top"/>
            <w:shd w:fill="F6F8FB"/>
            <w:tcMar>
              <w:top w:w="90" w:type="dxa"/>
              <w:start w:w="120" w:type="dxa"/>
              <w:bottom w:w="90" w:type="dxa"/>
              <w:end w:w="120" w:type="dxa"/>
            </w:tcMar>
          </w:tcPr>
          <w:p>
            <w:pPr>
              <w:spacing w:after="0" w:line="250" w:lineRule="auto"/>
            </w:pPr>
            <w:r/>
            <w:r>
              <w:rPr>
                <w:rFonts w:ascii="Aptos" w:hAnsi="Aptos"/>
                <w:b w:val="0"/>
                <w:color w:val="1D2433"/>
                <w:sz w:val="15"/>
              </w:rPr>
              <w:t>Organisation data segregated; no unnecessary child marketing data.</w:t>
            </w:r>
          </w:p>
        </w:tc>
      </w:tr>
    </w:tbl>
    <w:p>
      <w:pPr>
        <w:spacing w:after="20"/>
      </w:pPr>
    </w:p>
    <w:p>
      <w:pPr>
        <w:pStyle w:val="Heading2"/>
        <w:keepNext/>
      </w:pPr>
      <w:r>
        <w:t>5.2 Workforce roles</w:t>
      </w:r>
    </w:p>
    <w:tbl>
      <w:tblPr>
        <w:tblStyle w:val="TableGrid"/>
        <w:tblW w:type="dxa" w:w="9360"/>
        <w:jc w:val="left"/>
        <w:tblLayout w:type="fixed"/>
        <w:tblLook w:firstColumn="1" w:firstRow="1" w:lastColumn="0" w:lastRow="0" w:noHBand="0" w:noVBand="1" w:val="04A0"/>
        <w:tblInd w:w="120" w:type="dxa"/>
      </w:tblPr>
      <w:tblGrid>
        <w:gridCol w:w="1900"/>
        <w:gridCol w:w="4440"/>
        <w:gridCol w:w="3020"/>
      </w:tblGrid>
      <w:tr>
        <w:trPr>
          <w:tblHeader w:val="true"/>
        </w:trPr>
        <w:tc>
          <w:tcPr>
            <w:tcW w:type="dxa" w:w="1900"/>
            <w:vAlign w:val="center"/>
            <w:shd w:fill="0B2545"/>
            <w:tcMar>
              <w:top w:w="90" w:type="dxa"/>
              <w:start w:w="120" w:type="dxa"/>
              <w:bottom w:w="90" w:type="dxa"/>
              <w:end w:w="120" w:type="dxa"/>
            </w:tcMar>
          </w:tcPr>
          <w:p>
            <w:pPr>
              <w:spacing w:after="0"/>
            </w:pPr>
            <w:r/>
            <w:r>
              <w:rPr>
                <w:rFonts w:ascii="Aptos" w:hAnsi="Aptos"/>
                <w:b/>
                <w:color w:val="FFFFFF"/>
                <w:sz w:val="14"/>
              </w:rPr>
              <w:t>Role</w:t>
            </w:r>
          </w:p>
        </w:tc>
        <w:tc>
          <w:tcPr>
            <w:tcW w:type="dxa" w:w="4440"/>
            <w:shd w:fill="0B2545"/>
            <w:tcMar>
              <w:top w:w="90" w:type="dxa"/>
              <w:start w:w="120" w:type="dxa"/>
              <w:bottom w:w="90" w:type="dxa"/>
              <w:end w:w="120" w:type="dxa"/>
            </w:tcMar>
          </w:tcPr>
          <w:p>
            <w:pPr>
              <w:spacing w:after="0"/>
            </w:pPr>
            <w:r/>
            <w:r>
              <w:rPr>
                <w:rFonts w:ascii="Aptos" w:hAnsi="Aptos"/>
                <w:b/>
                <w:color w:val="FFFFFF"/>
                <w:sz w:val="14"/>
              </w:rPr>
              <w:t>Allowed scope</w:t>
            </w:r>
          </w:p>
        </w:tc>
        <w:tc>
          <w:tcPr>
            <w:tcW w:type="dxa" w:w="3020"/>
            <w:shd w:fill="0B2545"/>
            <w:tcMar>
              <w:top w:w="90" w:type="dxa"/>
              <w:start w:w="120" w:type="dxa"/>
              <w:bottom w:w="90" w:type="dxa"/>
              <w:end w:w="120" w:type="dxa"/>
            </w:tcMar>
          </w:tcPr>
          <w:p>
            <w:pPr>
              <w:spacing w:after="0"/>
            </w:pPr>
            <w:r/>
            <w:r>
              <w:rPr>
                <w:rFonts w:ascii="Aptos" w:hAnsi="Aptos"/>
                <w:b/>
                <w:color w:val="FFFFFF"/>
                <w:sz w:val="14"/>
              </w:rPr>
              <w:t>Prohibited by default</w:t>
            </w:r>
          </w:p>
        </w:tc>
      </w:tr>
      <w:tr>
        <w:tc>
          <w:tcPr>
            <w:tcW w:type="dxa" w:w="1900"/>
            <w:vAlign w:val="top"/>
            <w:tcMar>
              <w:top w:w="90" w:type="dxa"/>
              <w:start w:w="120" w:type="dxa"/>
              <w:bottom w:w="90" w:type="dxa"/>
              <w:end w:w="120" w:type="dxa"/>
            </w:tcMar>
          </w:tcPr>
          <w:p>
            <w:pPr>
              <w:spacing w:after="0" w:line="250" w:lineRule="auto"/>
            </w:pPr>
            <w:r/>
            <w:r>
              <w:rPr>
                <w:rFonts w:ascii="Aptos" w:hAnsi="Aptos"/>
                <w:b w:val="0"/>
                <w:color w:val="1D2433"/>
                <w:sz w:val="14"/>
              </w:rPr>
              <w:t>Front desk agent</w:t>
            </w:r>
          </w:p>
        </w:tc>
        <w:tc>
          <w:tcPr>
            <w:tcW w:type="dxa" w:w="4440"/>
            <w:vAlign w:val="top"/>
            <w:tcMar>
              <w:top w:w="90" w:type="dxa"/>
              <w:start w:w="120" w:type="dxa"/>
              <w:bottom w:w="90" w:type="dxa"/>
              <w:end w:w="120" w:type="dxa"/>
            </w:tcMar>
          </w:tcPr>
          <w:p>
            <w:pPr>
              <w:spacing w:after="0" w:line="250" w:lineRule="auto"/>
            </w:pPr>
            <w:r/>
            <w:r>
              <w:rPr>
                <w:rFonts w:ascii="Aptos" w:hAnsi="Aptos"/>
                <w:b w:val="0"/>
                <w:color w:val="1D2433"/>
                <w:sz w:val="14"/>
              </w:rPr>
              <w:t>Scan/lookup, attach visit, inspect redeemable items, redeem, reissue visible card, open support case.</w:t>
            </w:r>
          </w:p>
        </w:tc>
        <w:tc>
          <w:tcPr>
            <w:tcW w:type="dxa" w:w="3020"/>
            <w:vAlign w:val="top"/>
            <w:tcMar>
              <w:top w:w="90" w:type="dxa"/>
              <w:start w:w="120" w:type="dxa"/>
              <w:bottom w:w="90" w:type="dxa"/>
              <w:end w:w="120" w:type="dxa"/>
            </w:tcMar>
          </w:tcPr>
          <w:p>
            <w:pPr>
              <w:spacing w:after="0" w:line="250" w:lineRule="auto"/>
            </w:pPr>
            <w:r/>
            <w:r>
              <w:rPr>
                <w:rFonts w:ascii="Aptos" w:hAnsi="Aptos"/>
                <w:b w:val="0"/>
                <w:color w:val="1D2433"/>
                <w:sz w:val="14"/>
              </w:rPr>
              <w:t>Export, bulk search, rule changes, balance correction, consent changes.</w:t>
            </w:r>
          </w:p>
        </w:tc>
      </w:tr>
      <w:tr>
        <w:tc>
          <w:tcPr>
            <w:tcW w:type="dxa" w:w="1900"/>
            <w:vAlign w:val="top"/>
            <w:shd w:fill="F6F8FB"/>
            <w:tcMar>
              <w:top w:w="90" w:type="dxa"/>
              <w:start w:w="120" w:type="dxa"/>
              <w:bottom w:w="90" w:type="dxa"/>
              <w:end w:w="120" w:type="dxa"/>
            </w:tcMar>
          </w:tcPr>
          <w:p>
            <w:pPr>
              <w:spacing w:after="0" w:line="250" w:lineRule="auto"/>
            </w:pPr>
            <w:r/>
            <w:r>
              <w:rPr>
                <w:rFonts w:ascii="Aptos" w:hAnsi="Aptos"/>
                <w:b w:val="0"/>
                <w:color w:val="1D2433"/>
                <w:sz w:val="14"/>
              </w:rPr>
              <w:t>Café/POS agent</w:t>
            </w:r>
          </w:p>
        </w:tc>
        <w:tc>
          <w:tcPr>
            <w:tcW w:type="dxa" w:w="4440"/>
            <w:vAlign w:val="top"/>
            <w:shd w:fill="F6F8FB"/>
            <w:tcMar>
              <w:top w:w="90" w:type="dxa"/>
              <w:start w:w="120" w:type="dxa"/>
              <w:bottom w:w="90" w:type="dxa"/>
              <w:end w:w="120" w:type="dxa"/>
            </w:tcMar>
          </w:tcPr>
          <w:p>
            <w:pPr>
              <w:spacing w:after="0" w:line="250" w:lineRule="auto"/>
            </w:pPr>
            <w:r/>
            <w:r>
              <w:rPr>
                <w:rFonts w:ascii="Aptos" w:hAnsi="Aptos"/>
                <w:b w:val="0"/>
                <w:color w:val="1D2433"/>
                <w:sz w:val="14"/>
              </w:rPr>
              <w:t>Redeem eligible F&amp;B rewards and attribute configured sales.</w:t>
            </w:r>
          </w:p>
        </w:tc>
        <w:tc>
          <w:tcPr>
            <w:tcW w:type="dxa" w:w="3020"/>
            <w:vAlign w:val="top"/>
            <w:shd w:fill="F6F8FB"/>
            <w:tcMar>
              <w:top w:w="90" w:type="dxa"/>
              <w:start w:w="120" w:type="dxa"/>
              <w:bottom w:w="90" w:type="dxa"/>
              <w:end w:w="120" w:type="dxa"/>
            </w:tcMar>
          </w:tcPr>
          <w:p>
            <w:pPr>
              <w:spacing w:after="0" w:line="250" w:lineRule="auto"/>
            </w:pPr>
            <w:r/>
            <w:r>
              <w:rPr>
                <w:rFonts w:ascii="Aptos" w:hAnsi="Aptos"/>
                <w:b w:val="0"/>
                <w:color w:val="1D2433"/>
                <w:sz w:val="14"/>
              </w:rPr>
              <w:t>View family/child details unrelated to transaction.</w:t>
            </w:r>
          </w:p>
        </w:tc>
      </w:tr>
      <w:tr>
        <w:tc>
          <w:tcPr>
            <w:tcW w:type="dxa" w:w="1900"/>
            <w:vAlign w:val="top"/>
            <w:tcMar>
              <w:top w:w="90" w:type="dxa"/>
              <w:start w:w="120" w:type="dxa"/>
              <w:bottom w:w="90" w:type="dxa"/>
              <w:end w:w="120" w:type="dxa"/>
            </w:tcMar>
          </w:tcPr>
          <w:p>
            <w:pPr>
              <w:spacing w:after="0" w:line="250" w:lineRule="auto"/>
            </w:pPr>
            <w:r/>
            <w:r>
              <w:rPr>
                <w:rFonts w:ascii="Aptos" w:hAnsi="Aptos"/>
                <w:b w:val="0"/>
                <w:color w:val="1D2433"/>
                <w:sz w:val="14"/>
              </w:rPr>
              <w:t>Party/camp coordinator</w:t>
            </w:r>
          </w:p>
        </w:tc>
        <w:tc>
          <w:tcPr>
            <w:tcW w:type="dxa" w:w="4440"/>
            <w:vAlign w:val="top"/>
            <w:tcMar>
              <w:top w:w="90" w:type="dxa"/>
              <w:start w:w="120" w:type="dxa"/>
              <w:bottom w:w="90" w:type="dxa"/>
              <w:end w:w="120" w:type="dxa"/>
            </w:tcMar>
          </w:tcPr>
          <w:p>
            <w:pPr>
              <w:spacing w:after="0" w:line="250" w:lineRule="auto"/>
            </w:pPr>
            <w:r/>
            <w:r>
              <w:rPr>
                <w:rFonts w:ascii="Aptos" w:hAnsi="Aptos"/>
                <w:b w:val="0"/>
                <w:color w:val="1D2433"/>
                <w:sz w:val="14"/>
              </w:rPr>
              <w:t>Find relevant bookings, attendees, entitlements and occasion-specific benefits.</w:t>
            </w:r>
          </w:p>
        </w:tc>
        <w:tc>
          <w:tcPr>
            <w:tcW w:type="dxa" w:w="3020"/>
            <w:vAlign w:val="top"/>
            <w:tcMar>
              <w:top w:w="90" w:type="dxa"/>
              <w:start w:w="120" w:type="dxa"/>
              <w:bottom w:w="90" w:type="dxa"/>
              <w:end w:w="120" w:type="dxa"/>
            </w:tcMar>
          </w:tcPr>
          <w:p>
            <w:pPr>
              <w:spacing w:after="0" w:line="250" w:lineRule="auto"/>
            </w:pPr>
            <w:r/>
            <w:r>
              <w:rPr>
                <w:rFonts w:ascii="Aptos" w:hAnsi="Aptos"/>
                <w:b w:val="0"/>
                <w:color w:val="1D2433"/>
                <w:sz w:val="14"/>
              </w:rPr>
              <w:t>Global customer export or loyalty rule changes.</w:t>
            </w:r>
          </w:p>
        </w:tc>
      </w:tr>
      <w:tr>
        <w:tc>
          <w:tcPr>
            <w:tcW w:type="dxa" w:w="1900"/>
            <w:vAlign w:val="top"/>
            <w:shd w:fill="F6F8FB"/>
            <w:tcMar>
              <w:top w:w="90" w:type="dxa"/>
              <w:start w:w="120" w:type="dxa"/>
              <w:bottom w:w="90" w:type="dxa"/>
              <w:end w:w="120" w:type="dxa"/>
            </w:tcMar>
          </w:tcPr>
          <w:p>
            <w:pPr>
              <w:spacing w:after="0" w:line="250" w:lineRule="auto"/>
            </w:pPr>
            <w:r/>
            <w:r>
              <w:rPr>
                <w:rFonts w:ascii="Aptos" w:hAnsi="Aptos"/>
                <w:b w:val="0"/>
                <w:color w:val="1D2433"/>
                <w:sz w:val="14"/>
              </w:rPr>
              <w:t>Park manager</w:t>
            </w:r>
          </w:p>
        </w:tc>
        <w:tc>
          <w:tcPr>
            <w:tcW w:type="dxa" w:w="4440"/>
            <w:vAlign w:val="top"/>
            <w:shd w:fill="F6F8FB"/>
            <w:tcMar>
              <w:top w:w="90" w:type="dxa"/>
              <w:start w:w="120" w:type="dxa"/>
              <w:bottom w:w="90" w:type="dxa"/>
              <w:end w:w="120" w:type="dxa"/>
            </w:tcMar>
          </w:tcPr>
          <w:p>
            <w:pPr>
              <w:spacing w:after="0" w:line="250" w:lineRule="auto"/>
            </w:pPr>
            <w:r/>
            <w:r>
              <w:rPr>
                <w:rFonts w:ascii="Aptos" w:hAnsi="Aptos"/>
                <w:b w:val="0"/>
                <w:color w:val="1D2433"/>
                <w:sz w:val="14"/>
              </w:rPr>
              <w:t>Park-scoped operations, staff/device approval, stock, exceptions and reports.</w:t>
            </w:r>
          </w:p>
        </w:tc>
        <w:tc>
          <w:tcPr>
            <w:tcW w:type="dxa" w:w="3020"/>
            <w:vAlign w:val="top"/>
            <w:shd w:fill="F6F8FB"/>
            <w:tcMar>
              <w:top w:w="90" w:type="dxa"/>
              <w:start w:w="120" w:type="dxa"/>
              <w:bottom w:w="90" w:type="dxa"/>
              <w:end w:w="120" w:type="dxa"/>
            </w:tcMar>
          </w:tcPr>
          <w:p>
            <w:pPr>
              <w:spacing w:after="0" w:line="250" w:lineRule="auto"/>
            </w:pPr>
            <w:r/>
            <w:r>
              <w:rPr>
                <w:rFonts w:ascii="Aptos" w:hAnsi="Aptos"/>
                <w:b w:val="0"/>
                <w:color w:val="1D2433"/>
                <w:sz w:val="14"/>
              </w:rPr>
              <w:t>Global security, processor or financial configuration.</w:t>
            </w:r>
          </w:p>
        </w:tc>
      </w:tr>
      <w:tr>
        <w:tc>
          <w:tcPr>
            <w:tcW w:type="dxa" w:w="1900"/>
            <w:vAlign w:val="top"/>
            <w:tcMar>
              <w:top w:w="90" w:type="dxa"/>
              <w:start w:w="120" w:type="dxa"/>
              <w:bottom w:w="90" w:type="dxa"/>
              <w:end w:w="120" w:type="dxa"/>
            </w:tcMar>
          </w:tcPr>
          <w:p>
            <w:pPr>
              <w:spacing w:after="0" w:line="250" w:lineRule="auto"/>
            </w:pPr>
            <w:r/>
            <w:r>
              <w:rPr>
                <w:rFonts w:ascii="Aptos" w:hAnsi="Aptos"/>
                <w:b w:val="0"/>
                <w:color w:val="1D2433"/>
                <w:sz w:val="14"/>
              </w:rPr>
              <w:t>Marketing operator</w:t>
            </w:r>
          </w:p>
        </w:tc>
        <w:tc>
          <w:tcPr>
            <w:tcW w:type="dxa" w:w="4440"/>
            <w:vAlign w:val="top"/>
            <w:tcMar>
              <w:top w:w="90" w:type="dxa"/>
              <w:start w:w="120" w:type="dxa"/>
              <w:bottom w:w="90" w:type="dxa"/>
              <w:end w:w="120" w:type="dxa"/>
            </w:tcMar>
          </w:tcPr>
          <w:p>
            <w:pPr>
              <w:spacing w:after="0" w:line="250" w:lineRule="auto"/>
            </w:pPr>
            <w:r/>
            <w:r>
              <w:rPr>
                <w:rFonts w:ascii="Aptos" w:hAnsi="Aptos"/>
                <w:b w:val="0"/>
                <w:color w:val="1D2433"/>
                <w:sz w:val="14"/>
              </w:rPr>
              <w:t>Segments, templates, journeys, experiments and read-only outcome analytics.</w:t>
            </w:r>
          </w:p>
        </w:tc>
        <w:tc>
          <w:tcPr>
            <w:tcW w:type="dxa" w:w="3020"/>
            <w:vAlign w:val="top"/>
            <w:tcMar>
              <w:top w:w="90" w:type="dxa"/>
              <w:start w:w="120" w:type="dxa"/>
              <w:bottom w:w="90" w:type="dxa"/>
              <w:end w:w="120" w:type="dxa"/>
            </w:tcMar>
          </w:tcPr>
          <w:p>
            <w:pPr>
              <w:spacing w:after="0" w:line="250" w:lineRule="auto"/>
            </w:pPr>
            <w:r/>
            <w:r>
              <w:rPr>
                <w:rFonts w:ascii="Aptos" w:hAnsi="Aptos"/>
                <w:b w:val="0"/>
                <w:color w:val="1D2433"/>
                <w:sz w:val="14"/>
              </w:rPr>
              <w:t>Direct balance changes, unrestricted PII export, send without approval policy.</w:t>
            </w:r>
          </w:p>
        </w:tc>
      </w:tr>
      <w:tr>
        <w:tc>
          <w:tcPr>
            <w:tcW w:type="dxa" w:w="1900"/>
            <w:vAlign w:val="top"/>
            <w:shd w:fill="F6F8FB"/>
            <w:tcMar>
              <w:top w:w="90" w:type="dxa"/>
              <w:start w:w="120" w:type="dxa"/>
              <w:bottom w:w="90" w:type="dxa"/>
              <w:end w:w="120" w:type="dxa"/>
            </w:tcMar>
          </w:tcPr>
          <w:p>
            <w:pPr>
              <w:spacing w:after="0" w:line="250" w:lineRule="auto"/>
            </w:pPr>
            <w:r/>
            <w:r>
              <w:rPr>
                <w:rFonts w:ascii="Aptos" w:hAnsi="Aptos"/>
                <w:b w:val="0"/>
                <w:color w:val="1D2433"/>
                <w:sz w:val="14"/>
              </w:rPr>
              <w:t>Marketing approver</w:t>
            </w:r>
          </w:p>
        </w:tc>
        <w:tc>
          <w:tcPr>
            <w:tcW w:type="dxa" w:w="4440"/>
            <w:vAlign w:val="top"/>
            <w:shd w:fill="F6F8FB"/>
            <w:tcMar>
              <w:top w:w="90" w:type="dxa"/>
              <w:start w:w="120" w:type="dxa"/>
              <w:bottom w:w="90" w:type="dxa"/>
              <w:end w:w="120" w:type="dxa"/>
            </w:tcMar>
          </w:tcPr>
          <w:p>
            <w:pPr>
              <w:spacing w:after="0" w:line="250" w:lineRule="auto"/>
            </w:pPr>
            <w:r/>
            <w:r>
              <w:rPr>
                <w:rFonts w:ascii="Aptos" w:hAnsi="Aptos"/>
                <w:b w:val="0"/>
                <w:color w:val="1D2433"/>
                <w:sz w:val="14"/>
              </w:rPr>
              <w:t>Approve high-risk/bulk/geolocation/child-adjacent campaigns.</w:t>
            </w:r>
          </w:p>
        </w:tc>
        <w:tc>
          <w:tcPr>
            <w:tcW w:type="dxa" w:w="3020"/>
            <w:vAlign w:val="top"/>
            <w:shd w:fill="F6F8FB"/>
            <w:tcMar>
              <w:top w:w="90" w:type="dxa"/>
              <w:start w:w="120" w:type="dxa"/>
              <w:bottom w:w="90" w:type="dxa"/>
              <w:end w:w="120" w:type="dxa"/>
            </w:tcMar>
          </w:tcPr>
          <w:p>
            <w:pPr>
              <w:spacing w:after="0" w:line="250" w:lineRule="auto"/>
            </w:pPr>
            <w:r/>
            <w:r>
              <w:rPr>
                <w:rFonts w:ascii="Aptos" w:hAnsi="Aptos"/>
                <w:b w:val="0"/>
                <w:color w:val="1D2433"/>
                <w:sz w:val="14"/>
              </w:rPr>
              <w:t>Bypass consent or global suppression.</w:t>
            </w:r>
          </w:p>
        </w:tc>
      </w:tr>
      <w:tr>
        <w:tc>
          <w:tcPr>
            <w:tcW w:type="dxa" w:w="1900"/>
            <w:vAlign w:val="top"/>
            <w:tcMar>
              <w:top w:w="90" w:type="dxa"/>
              <w:start w:w="120" w:type="dxa"/>
              <w:bottom w:w="90" w:type="dxa"/>
              <w:end w:w="120" w:type="dxa"/>
            </w:tcMar>
          </w:tcPr>
          <w:p>
            <w:pPr>
              <w:spacing w:after="0" w:line="250" w:lineRule="auto"/>
            </w:pPr>
            <w:r/>
            <w:r>
              <w:rPr>
                <w:rFonts w:ascii="Aptos" w:hAnsi="Aptos"/>
                <w:b w:val="0"/>
                <w:color w:val="1D2433"/>
                <w:sz w:val="14"/>
              </w:rPr>
              <w:t>Finance operator</w:t>
            </w:r>
          </w:p>
        </w:tc>
        <w:tc>
          <w:tcPr>
            <w:tcW w:type="dxa" w:w="4440"/>
            <w:vAlign w:val="top"/>
            <w:tcMar>
              <w:top w:w="90" w:type="dxa"/>
              <w:start w:w="120" w:type="dxa"/>
              <w:bottom w:w="90" w:type="dxa"/>
              <w:end w:w="120" w:type="dxa"/>
            </w:tcMar>
          </w:tcPr>
          <w:p>
            <w:pPr>
              <w:spacing w:after="0" w:line="250" w:lineRule="auto"/>
            </w:pPr>
            <w:r/>
            <w:r>
              <w:rPr>
                <w:rFonts w:ascii="Aptos" w:hAnsi="Aptos"/>
                <w:b w:val="0"/>
                <w:color w:val="1D2433"/>
                <w:sz w:val="14"/>
              </w:rPr>
              <w:t>Liability, settlements, refunds, reconciliations and finance exports.</w:t>
            </w:r>
          </w:p>
        </w:tc>
        <w:tc>
          <w:tcPr>
            <w:tcW w:type="dxa" w:w="3020"/>
            <w:vAlign w:val="top"/>
            <w:tcMar>
              <w:top w:w="90" w:type="dxa"/>
              <w:start w:w="120" w:type="dxa"/>
              <w:bottom w:w="90" w:type="dxa"/>
              <w:end w:w="120" w:type="dxa"/>
            </w:tcMar>
          </w:tcPr>
          <w:p>
            <w:pPr>
              <w:spacing w:after="0" w:line="250" w:lineRule="auto"/>
            </w:pPr>
            <w:r/>
            <w:r>
              <w:rPr>
                <w:rFonts w:ascii="Aptos" w:hAnsi="Aptos"/>
                <w:b w:val="0"/>
                <w:color w:val="1D2433"/>
                <w:sz w:val="14"/>
              </w:rPr>
              <w:t>Campaign targeting or unnecessary child profile access.</w:t>
            </w:r>
          </w:p>
        </w:tc>
      </w:tr>
      <w:tr>
        <w:tc>
          <w:tcPr>
            <w:tcW w:type="dxa" w:w="1900"/>
            <w:vAlign w:val="top"/>
            <w:shd w:fill="F6F8FB"/>
            <w:tcMar>
              <w:top w:w="90" w:type="dxa"/>
              <w:start w:w="120" w:type="dxa"/>
              <w:bottom w:w="90" w:type="dxa"/>
              <w:end w:w="120" w:type="dxa"/>
            </w:tcMar>
          </w:tcPr>
          <w:p>
            <w:pPr>
              <w:spacing w:after="0" w:line="250" w:lineRule="auto"/>
            </w:pPr>
            <w:r/>
            <w:r>
              <w:rPr>
                <w:rFonts w:ascii="Aptos" w:hAnsi="Aptos"/>
                <w:b w:val="0"/>
                <w:color w:val="1D2433"/>
                <w:sz w:val="14"/>
              </w:rPr>
              <w:t>Customer support</w:t>
            </w:r>
          </w:p>
        </w:tc>
        <w:tc>
          <w:tcPr>
            <w:tcW w:type="dxa" w:w="4440"/>
            <w:vAlign w:val="top"/>
            <w:shd w:fill="F6F8FB"/>
            <w:tcMar>
              <w:top w:w="90" w:type="dxa"/>
              <w:start w:w="120" w:type="dxa"/>
              <w:bottom w:w="90" w:type="dxa"/>
              <w:end w:w="120" w:type="dxa"/>
            </w:tcMar>
          </w:tcPr>
          <w:p>
            <w:pPr>
              <w:spacing w:after="0" w:line="250" w:lineRule="auto"/>
            </w:pPr>
            <w:r/>
            <w:r>
              <w:rPr>
                <w:rFonts w:ascii="Aptos" w:hAnsi="Aptos"/>
                <w:b w:val="0"/>
                <w:color w:val="1D2433"/>
                <w:sz w:val="14"/>
              </w:rPr>
              <w:t>Identity-assisted case handling, account merge request, correction workflow and customer timeline.</w:t>
            </w:r>
          </w:p>
        </w:tc>
        <w:tc>
          <w:tcPr>
            <w:tcW w:type="dxa" w:w="3020"/>
            <w:vAlign w:val="top"/>
            <w:shd w:fill="F6F8FB"/>
            <w:tcMar>
              <w:top w:w="90" w:type="dxa"/>
              <w:start w:w="120" w:type="dxa"/>
              <w:bottom w:w="90" w:type="dxa"/>
              <w:end w:w="120" w:type="dxa"/>
            </w:tcMar>
          </w:tcPr>
          <w:p>
            <w:pPr>
              <w:spacing w:after="0" w:line="250" w:lineRule="auto"/>
            </w:pPr>
            <w:r/>
            <w:r>
              <w:rPr>
                <w:rFonts w:ascii="Aptos" w:hAnsi="Aptos"/>
                <w:b w:val="0"/>
                <w:color w:val="1D2433"/>
                <w:sz w:val="14"/>
              </w:rPr>
              <w:t>Silent impersonation, raw secret access, irreversible deletion.</w:t>
            </w:r>
          </w:p>
        </w:tc>
      </w:tr>
      <w:tr>
        <w:tc>
          <w:tcPr>
            <w:tcW w:type="dxa" w:w="1900"/>
            <w:vAlign w:val="top"/>
            <w:tcMar>
              <w:top w:w="90" w:type="dxa"/>
              <w:start w:w="120" w:type="dxa"/>
              <w:bottom w:w="90" w:type="dxa"/>
              <w:end w:w="120" w:type="dxa"/>
            </w:tcMar>
          </w:tcPr>
          <w:p>
            <w:pPr>
              <w:spacing w:after="0" w:line="250" w:lineRule="auto"/>
            </w:pPr>
            <w:r/>
            <w:r>
              <w:rPr>
                <w:rFonts w:ascii="Aptos" w:hAnsi="Aptos"/>
                <w:b w:val="0"/>
                <w:color w:val="1D2433"/>
                <w:sz w:val="14"/>
              </w:rPr>
              <w:t>DPO/privacy operator</w:t>
            </w:r>
          </w:p>
        </w:tc>
        <w:tc>
          <w:tcPr>
            <w:tcW w:type="dxa" w:w="4440"/>
            <w:vAlign w:val="top"/>
            <w:tcMar>
              <w:top w:w="90" w:type="dxa"/>
              <w:start w:w="120" w:type="dxa"/>
              <w:bottom w:w="90" w:type="dxa"/>
              <w:end w:w="120" w:type="dxa"/>
            </w:tcMar>
          </w:tcPr>
          <w:p>
            <w:pPr>
              <w:spacing w:after="0" w:line="250" w:lineRule="auto"/>
            </w:pPr>
            <w:r/>
            <w:r>
              <w:rPr>
                <w:rFonts w:ascii="Aptos" w:hAnsi="Aptos"/>
                <w:b w:val="0"/>
                <w:color w:val="1D2433"/>
                <w:sz w:val="14"/>
              </w:rPr>
              <w:t>DSAR, consent evidence, restriction, objection, export and erasure workflows.</w:t>
            </w:r>
          </w:p>
        </w:tc>
        <w:tc>
          <w:tcPr>
            <w:tcW w:type="dxa" w:w="3020"/>
            <w:vAlign w:val="top"/>
            <w:tcMar>
              <w:top w:w="90" w:type="dxa"/>
              <w:start w:w="120" w:type="dxa"/>
              <w:bottom w:w="90" w:type="dxa"/>
              <w:end w:w="120" w:type="dxa"/>
            </w:tcMar>
          </w:tcPr>
          <w:p>
            <w:pPr>
              <w:spacing w:after="0" w:line="250" w:lineRule="auto"/>
            </w:pPr>
            <w:r/>
            <w:r>
              <w:rPr>
                <w:rFonts w:ascii="Aptos" w:hAnsi="Aptos"/>
                <w:b w:val="0"/>
                <w:color w:val="1D2433"/>
                <w:sz w:val="14"/>
              </w:rPr>
              <w:t>Commercial campaign execution.</w:t>
            </w:r>
          </w:p>
        </w:tc>
      </w:tr>
      <w:tr>
        <w:tc>
          <w:tcPr>
            <w:tcW w:type="dxa" w:w="1900"/>
            <w:vAlign w:val="top"/>
            <w:shd w:fill="F6F8FB"/>
            <w:tcMar>
              <w:top w:w="90" w:type="dxa"/>
              <w:start w:w="120" w:type="dxa"/>
              <w:bottom w:w="90" w:type="dxa"/>
              <w:end w:w="120" w:type="dxa"/>
            </w:tcMar>
          </w:tcPr>
          <w:p>
            <w:pPr>
              <w:spacing w:after="0" w:line="250" w:lineRule="auto"/>
            </w:pPr>
            <w:r/>
            <w:r>
              <w:rPr>
                <w:rFonts w:ascii="Aptos" w:hAnsi="Aptos"/>
                <w:b w:val="0"/>
                <w:color w:val="1D2433"/>
                <w:sz w:val="14"/>
              </w:rPr>
              <w:t>Security operator</w:t>
            </w:r>
          </w:p>
        </w:tc>
        <w:tc>
          <w:tcPr>
            <w:tcW w:type="dxa" w:w="4440"/>
            <w:vAlign w:val="top"/>
            <w:shd w:fill="F6F8FB"/>
            <w:tcMar>
              <w:top w:w="90" w:type="dxa"/>
              <w:start w:w="120" w:type="dxa"/>
              <w:bottom w:w="90" w:type="dxa"/>
              <w:end w:w="120" w:type="dxa"/>
            </w:tcMar>
          </w:tcPr>
          <w:p>
            <w:pPr>
              <w:spacing w:after="0" w:line="250" w:lineRule="auto"/>
            </w:pPr>
            <w:r/>
            <w:r>
              <w:rPr>
                <w:rFonts w:ascii="Aptos" w:hAnsi="Aptos"/>
                <w:b w:val="0"/>
                <w:color w:val="1D2433"/>
                <w:sz w:val="14"/>
              </w:rPr>
              <w:t>Threat events, sessions, devices, keys, incidents and audit review.</w:t>
            </w:r>
          </w:p>
        </w:tc>
        <w:tc>
          <w:tcPr>
            <w:tcW w:type="dxa" w:w="3020"/>
            <w:vAlign w:val="top"/>
            <w:shd w:fill="F6F8FB"/>
            <w:tcMar>
              <w:top w:w="90" w:type="dxa"/>
              <w:start w:w="120" w:type="dxa"/>
              <w:bottom w:w="90" w:type="dxa"/>
              <w:end w:w="120" w:type="dxa"/>
            </w:tcMar>
          </w:tcPr>
          <w:p>
            <w:pPr>
              <w:spacing w:after="0" w:line="250" w:lineRule="auto"/>
            </w:pPr>
            <w:r/>
            <w:r>
              <w:rPr>
                <w:rFonts w:ascii="Aptos" w:hAnsi="Aptos"/>
                <w:b w:val="0"/>
                <w:color w:val="1D2433"/>
                <w:sz w:val="14"/>
              </w:rPr>
              <w:t>Marketing use of security data.</w:t>
            </w:r>
          </w:p>
        </w:tc>
      </w:tr>
      <w:tr>
        <w:tc>
          <w:tcPr>
            <w:tcW w:type="dxa" w:w="1900"/>
            <w:vAlign w:val="top"/>
            <w:tcMar>
              <w:top w:w="90" w:type="dxa"/>
              <w:start w:w="120" w:type="dxa"/>
              <w:bottom w:w="90" w:type="dxa"/>
              <w:end w:w="120" w:type="dxa"/>
            </w:tcMar>
          </w:tcPr>
          <w:p>
            <w:pPr>
              <w:spacing w:after="0" w:line="250" w:lineRule="auto"/>
            </w:pPr>
            <w:r/>
            <w:r>
              <w:rPr>
                <w:rFonts w:ascii="Aptos" w:hAnsi="Aptos"/>
                <w:b w:val="0"/>
                <w:color w:val="1D2433"/>
                <w:sz w:val="14"/>
              </w:rPr>
              <w:t>System administrator</w:t>
            </w:r>
          </w:p>
        </w:tc>
        <w:tc>
          <w:tcPr>
            <w:tcW w:type="dxa" w:w="4440"/>
            <w:vAlign w:val="top"/>
            <w:tcMar>
              <w:top w:w="90" w:type="dxa"/>
              <w:start w:w="120" w:type="dxa"/>
              <w:bottom w:w="90" w:type="dxa"/>
              <w:end w:w="120" w:type="dxa"/>
            </w:tcMar>
          </w:tcPr>
          <w:p>
            <w:pPr>
              <w:spacing w:after="0" w:line="250" w:lineRule="auto"/>
            </w:pPr>
            <w:r/>
            <w:r>
              <w:rPr>
                <w:rFonts w:ascii="Aptos" w:hAnsi="Aptos"/>
                <w:b w:val="0"/>
                <w:color w:val="1D2433"/>
                <w:sz w:val="14"/>
              </w:rPr>
              <w:t>Configuration and role assignment under dual control.</w:t>
            </w:r>
          </w:p>
        </w:tc>
        <w:tc>
          <w:tcPr>
            <w:tcW w:type="dxa" w:w="3020"/>
            <w:vAlign w:val="top"/>
            <w:tcMar>
              <w:top w:w="90" w:type="dxa"/>
              <w:start w:w="120" w:type="dxa"/>
              <w:bottom w:w="90" w:type="dxa"/>
              <w:end w:w="120" w:type="dxa"/>
            </w:tcMar>
          </w:tcPr>
          <w:p>
            <w:pPr>
              <w:spacing w:after="0" w:line="250" w:lineRule="auto"/>
            </w:pPr>
            <w:r/>
            <w:r>
              <w:rPr>
                <w:rFonts w:ascii="Aptos" w:hAnsi="Aptos"/>
                <w:b w:val="0"/>
                <w:color w:val="1D2433"/>
                <w:sz w:val="14"/>
              </w:rPr>
              <w:t>Unlogged access or direct database edits.</w:t>
            </w:r>
          </w:p>
        </w:tc>
      </w:tr>
      <w:tr>
        <w:tc>
          <w:tcPr>
            <w:tcW w:type="dxa" w:w="1900"/>
            <w:vAlign w:val="top"/>
            <w:shd w:fill="F6F8FB"/>
            <w:tcMar>
              <w:top w:w="90" w:type="dxa"/>
              <w:start w:w="120" w:type="dxa"/>
              <w:bottom w:w="90" w:type="dxa"/>
              <w:end w:w="120" w:type="dxa"/>
            </w:tcMar>
          </w:tcPr>
          <w:p>
            <w:pPr>
              <w:spacing w:after="0" w:line="250" w:lineRule="auto"/>
            </w:pPr>
            <w:r/>
            <w:r>
              <w:rPr>
                <w:rFonts w:ascii="Aptos" w:hAnsi="Aptos"/>
                <w:b w:val="0"/>
                <w:color w:val="1D2433"/>
                <w:sz w:val="14"/>
              </w:rPr>
              <w:t>Auditor</w:t>
            </w:r>
          </w:p>
        </w:tc>
        <w:tc>
          <w:tcPr>
            <w:tcW w:type="dxa" w:w="4440"/>
            <w:vAlign w:val="top"/>
            <w:shd w:fill="F6F8FB"/>
            <w:tcMar>
              <w:top w:w="90" w:type="dxa"/>
              <w:start w:w="120" w:type="dxa"/>
              <w:bottom w:w="90" w:type="dxa"/>
              <w:end w:w="120" w:type="dxa"/>
            </w:tcMar>
          </w:tcPr>
          <w:p>
            <w:pPr>
              <w:spacing w:after="0" w:line="250" w:lineRule="auto"/>
            </w:pPr>
            <w:r/>
            <w:r>
              <w:rPr>
                <w:rFonts w:ascii="Aptos" w:hAnsi="Aptos"/>
                <w:b w:val="0"/>
                <w:color w:val="1D2433"/>
                <w:sz w:val="14"/>
              </w:rPr>
              <w:t>Time-bound read-only access to immutable evidence.</w:t>
            </w:r>
          </w:p>
        </w:tc>
        <w:tc>
          <w:tcPr>
            <w:tcW w:type="dxa" w:w="3020"/>
            <w:vAlign w:val="top"/>
            <w:shd w:fill="F6F8FB"/>
            <w:tcMar>
              <w:top w:w="90" w:type="dxa"/>
              <w:start w:w="120" w:type="dxa"/>
              <w:bottom w:w="90" w:type="dxa"/>
              <w:end w:w="120" w:type="dxa"/>
            </w:tcMar>
          </w:tcPr>
          <w:p>
            <w:pPr>
              <w:spacing w:after="0" w:line="250" w:lineRule="auto"/>
            </w:pPr>
            <w:r/>
            <w:r>
              <w:rPr>
                <w:rFonts w:ascii="Aptos" w:hAnsi="Aptos"/>
                <w:b w:val="0"/>
                <w:color w:val="1D2433"/>
                <w:sz w:val="14"/>
              </w:rPr>
              <w:t>Any operational mutation.</w:t>
            </w:r>
          </w:p>
        </w:tc>
      </w:tr>
    </w:tbl>
    <w:p>
      <w:pPr>
        <w:spacing w:after="20"/>
      </w:pPr>
    </w:p>
    <w:p>
      <w:pPr>
        <w:pStyle w:val="Heading2"/>
        <w:keepNext/>
      </w:pPr>
      <w:r>
        <w:t>5.3 Access requirements</w:t>
      </w:r>
    </w:p>
    <w:tbl>
      <w:tblPr>
        <w:tblStyle w:val="TableGrid"/>
        <w:tblW w:type="dxa" w:w="9360"/>
        <w:jc w:val="left"/>
        <w:tblLayout w:type="fixed"/>
        <w:tblLook w:firstColumn="1" w:firstRow="1" w:lastColumn="0" w:lastRow="0" w:noHBand="0" w:noVBand="1" w:val="04A0"/>
        <w:tblInd w:w="120" w:type="dxa"/>
      </w:tblPr>
      <w:tblGrid>
        <w:gridCol w:w="850"/>
        <w:gridCol w:w="5450"/>
        <w:gridCol w:w="3060"/>
      </w:tblGrid>
      <w:tr>
        <w:trPr>
          <w:tblHeader w:val="true"/>
        </w:trPr>
        <w:tc>
          <w:tcPr>
            <w:tcW w:type="dxa" w:w="850"/>
            <w:vAlign w:val="center"/>
            <w:shd w:fill="0B2545"/>
            <w:tcMar>
              <w:top w:w="90" w:type="dxa"/>
              <w:start w:w="120" w:type="dxa"/>
              <w:bottom w:w="90" w:type="dxa"/>
              <w:end w:w="120" w:type="dxa"/>
            </w:tcMar>
          </w:tcPr>
          <w:p>
            <w:pPr>
              <w:spacing w:after="0"/>
            </w:pPr>
            <w:r/>
            <w:r>
              <w:rPr>
                <w:rFonts w:ascii="Aptos" w:hAnsi="Aptos"/>
                <w:b/>
                <w:color w:val="FFFFFF"/>
                <w:sz w:val="15"/>
              </w:rPr>
              <w:t>ID</w:t>
            </w:r>
          </w:p>
        </w:tc>
        <w:tc>
          <w:tcPr>
            <w:tcW w:type="dxa" w:w="5450"/>
            <w:shd w:fill="0B2545"/>
            <w:tcMar>
              <w:top w:w="90" w:type="dxa"/>
              <w:start w:w="120" w:type="dxa"/>
              <w:bottom w:w="90" w:type="dxa"/>
              <w:end w:w="120" w:type="dxa"/>
            </w:tcMar>
          </w:tcPr>
          <w:p>
            <w:pPr>
              <w:spacing w:after="0"/>
            </w:pPr>
            <w:r/>
            <w:r>
              <w:rPr>
                <w:rFonts w:ascii="Aptos" w:hAnsi="Aptos"/>
                <w:b/>
                <w:color w:val="FFFFFF"/>
                <w:sz w:val="15"/>
              </w:rPr>
              <w:t>Production requirement</w:t>
            </w:r>
          </w:p>
        </w:tc>
        <w:tc>
          <w:tcPr>
            <w:tcW w:type="dxa" w:w="3060"/>
            <w:shd w:fill="0B2545"/>
            <w:tcMar>
              <w:top w:w="90" w:type="dxa"/>
              <w:start w:w="120" w:type="dxa"/>
              <w:bottom w:w="90" w:type="dxa"/>
              <w:end w:w="120" w:type="dxa"/>
            </w:tcMar>
          </w:tcPr>
          <w:p>
            <w:pPr>
              <w:spacing w:after="0"/>
            </w:pPr>
            <w:r/>
            <w:r>
              <w:rPr>
                <w:rFonts w:ascii="Aptos" w:hAnsi="Aptos"/>
                <w:b/>
                <w:color w:val="FFFFFF"/>
                <w:sz w:val="15"/>
              </w:rPr>
              <w:t>Acceptance evidence</w:t>
            </w:r>
          </w:p>
        </w:tc>
      </w:tr>
      <w:tr>
        <w:tc>
          <w:tcPr>
            <w:tcW w:type="dxa" w:w="850"/>
            <w:vAlign w:val="top"/>
            <w:tcMar>
              <w:top w:w="90" w:type="dxa"/>
              <w:start w:w="120" w:type="dxa"/>
              <w:bottom w:w="90" w:type="dxa"/>
              <w:end w:w="120" w:type="dxa"/>
            </w:tcMar>
          </w:tcPr>
          <w:p>
            <w:pPr>
              <w:spacing w:after="0" w:line="250" w:lineRule="auto"/>
            </w:pPr>
            <w:r/>
            <w:r>
              <w:rPr>
                <w:rFonts w:ascii="Aptos" w:hAnsi="Aptos"/>
                <w:b w:val="0"/>
                <w:color w:val="1D2433"/>
                <w:sz w:val="15"/>
              </w:rPr>
              <w:t>IAM-001</w:t>
            </w:r>
          </w:p>
        </w:tc>
        <w:tc>
          <w:tcPr>
            <w:tcW w:type="dxa" w:w="5450"/>
            <w:vAlign w:val="top"/>
            <w:tcMar>
              <w:top w:w="90" w:type="dxa"/>
              <w:start w:w="120" w:type="dxa"/>
              <w:bottom w:w="90" w:type="dxa"/>
              <w:end w:w="120" w:type="dxa"/>
            </w:tcMar>
          </w:tcPr>
          <w:p>
            <w:pPr>
              <w:spacing w:after="0" w:line="250" w:lineRule="auto"/>
            </w:pPr>
            <w:r/>
            <w:r>
              <w:rPr>
                <w:rFonts w:ascii="Aptos" w:hAnsi="Aptos"/>
                <w:b w:val="0"/>
                <w:color w:val="1D2433"/>
                <w:sz w:val="15"/>
              </w:rPr>
              <w:t>Use role-based access control with park, legal-entity, function and data-sensitivity scopes.</w:t>
            </w:r>
          </w:p>
        </w:tc>
        <w:tc>
          <w:tcPr>
            <w:tcW w:type="dxa" w:w="3060"/>
            <w:vAlign w:val="top"/>
            <w:tcMar>
              <w:top w:w="90" w:type="dxa"/>
              <w:start w:w="120" w:type="dxa"/>
              <w:bottom w:w="90" w:type="dxa"/>
              <w:end w:w="120" w:type="dxa"/>
            </w:tcMar>
          </w:tcPr>
          <w:p>
            <w:pPr>
              <w:spacing w:after="0" w:line="250" w:lineRule="auto"/>
            </w:pPr>
            <w:r/>
            <w:r>
              <w:rPr>
                <w:rFonts w:ascii="Aptos" w:hAnsi="Aptos"/>
                <w:b w:val="0"/>
                <w:color w:val="1D2433"/>
                <w:sz w:val="15"/>
              </w:rPr>
              <w:t>Automated permission matrix tests prove allow and deny cases.</w:t>
            </w:r>
          </w:p>
        </w:tc>
      </w:tr>
      <w:tr>
        <w:tc>
          <w:tcPr>
            <w:tcW w:type="dxa" w:w="8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IAM-002</w:t>
            </w:r>
          </w:p>
        </w:tc>
        <w:tc>
          <w:tcPr>
            <w:tcW w:type="dxa" w:w="54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Require SSO and MFA for workforce users; prohibit shared accounts.</w:t>
            </w:r>
          </w:p>
        </w:tc>
        <w:tc>
          <w:tcPr>
            <w:tcW w:type="dxa" w:w="30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Production identity-provider configuration and access review report.</w:t>
            </w:r>
          </w:p>
        </w:tc>
      </w:tr>
      <w:tr>
        <w:tc>
          <w:tcPr>
            <w:tcW w:type="dxa" w:w="850"/>
            <w:vAlign w:val="top"/>
            <w:tcMar>
              <w:top w:w="90" w:type="dxa"/>
              <w:start w:w="120" w:type="dxa"/>
              <w:bottom w:w="90" w:type="dxa"/>
              <w:end w:w="120" w:type="dxa"/>
            </w:tcMar>
          </w:tcPr>
          <w:p>
            <w:pPr>
              <w:spacing w:after="0" w:line="250" w:lineRule="auto"/>
            </w:pPr>
            <w:r/>
            <w:r>
              <w:rPr>
                <w:rFonts w:ascii="Aptos" w:hAnsi="Aptos"/>
                <w:b w:val="0"/>
                <w:color w:val="1D2433"/>
                <w:sz w:val="15"/>
              </w:rPr>
              <w:t>IAM-003</w:t>
            </w:r>
          </w:p>
        </w:tc>
        <w:tc>
          <w:tcPr>
            <w:tcW w:type="dxa" w:w="5450"/>
            <w:vAlign w:val="top"/>
            <w:tcMar>
              <w:top w:w="90" w:type="dxa"/>
              <w:start w:w="120" w:type="dxa"/>
              <w:bottom w:w="90" w:type="dxa"/>
              <w:end w:w="120" w:type="dxa"/>
            </w:tcMar>
          </w:tcPr>
          <w:p>
            <w:pPr>
              <w:spacing w:after="0" w:line="250" w:lineRule="auto"/>
            </w:pPr>
            <w:r/>
            <w:r>
              <w:rPr>
                <w:rFonts w:ascii="Aptos" w:hAnsi="Aptos"/>
                <w:b w:val="0"/>
                <w:color w:val="1D2433"/>
                <w:sz w:val="15"/>
              </w:rPr>
              <w:t>Record every privileged read, export, impersonation and mutation in an immutable audit trail.</w:t>
            </w:r>
          </w:p>
        </w:tc>
        <w:tc>
          <w:tcPr>
            <w:tcW w:type="dxa" w:w="3060"/>
            <w:vAlign w:val="top"/>
            <w:tcMar>
              <w:top w:w="90" w:type="dxa"/>
              <w:start w:w="120" w:type="dxa"/>
              <w:bottom w:w="90" w:type="dxa"/>
              <w:end w:w="120" w:type="dxa"/>
            </w:tcMar>
          </w:tcPr>
          <w:p>
            <w:pPr>
              <w:spacing w:after="0" w:line="250" w:lineRule="auto"/>
            </w:pPr>
            <w:r/>
            <w:r>
              <w:rPr>
                <w:rFonts w:ascii="Aptos" w:hAnsi="Aptos"/>
                <w:b w:val="0"/>
                <w:color w:val="1D2433"/>
                <w:sz w:val="15"/>
              </w:rPr>
              <w:t>Audit query links actor, purpose, time, device and affected resources.</w:t>
            </w:r>
          </w:p>
        </w:tc>
      </w:tr>
      <w:tr>
        <w:tc>
          <w:tcPr>
            <w:tcW w:type="dxa" w:w="8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IAM-004</w:t>
            </w:r>
          </w:p>
        </w:tc>
        <w:tc>
          <w:tcPr>
            <w:tcW w:type="dxa" w:w="54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Use just-in-time elevation with reason and expiry for exceptional privileges.</w:t>
            </w:r>
          </w:p>
        </w:tc>
        <w:tc>
          <w:tcPr>
            <w:tcW w:type="dxa" w:w="30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Elevation expires automatically and is reported to security.</w:t>
            </w:r>
          </w:p>
        </w:tc>
      </w:tr>
      <w:tr>
        <w:tc>
          <w:tcPr>
            <w:tcW w:type="dxa" w:w="850"/>
            <w:vAlign w:val="top"/>
            <w:tcMar>
              <w:top w:w="90" w:type="dxa"/>
              <w:start w:w="120" w:type="dxa"/>
              <w:bottom w:w="90" w:type="dxa"/>
              <w:end w:w="120" w:type="dxa"/>
            </w:tcMar>
          </w:tcPr>
          <w:p>
            <w:pPr>
              <w:spacing w:after="0" w:line="250" w:lineRule="auto"/>
            </w:pPr>
            <w:r/>
            <w:r>
              <w:rPr>
                <w:rFonts w:ascii="Aptos" w:hAnsi="Aptos"/>
                <w:b w:val="0"/>
                <w:color w:val="1D2433"/>
                <w:sz w:val="15"/>
              </w:rPr>
              <w:t>IAM-005</w:t>
            </w:r>
          </w:p>
        </w:tc>
        <w:tc>
          <w:tcPr>
            <w:tcW w:type="dxa" w:w="5450"/>
            <w:vAlign w:val="top"/>
            <w:tcMar>
              <w:top w:w="90" w:type="dxa"/>
              <w:start w:w="120" w:type="dxa"/>
              <w:bottom w:w="90" w:type="dxa"/>
              <w:end w:w="120" w:type="dxa"/>
            </w:tcMar>
          </w:tcPr>
          <w:p>
            <w:pPr>
              <w:spacing w:after="0" w:line="250" w:lineRule="auto"/>
            </w:pPr>
            <w:r/>
            <w:r>
              <w:rPr>
                <w:rFonts w:ascii="Aptos" w:hAnsi="Aptos"/>
                <w:b w:val="0"/>
                <w:color w:val="1D2433"/>
                <w:sz w:val="15"/>
              </w:rPr>
              <w:t>Terminate sessions and revoke devices promptly when workforce identity is disabled.</w:t>
            </w:r>
          </w:p>
        </w:tc>
        <w:tc>
          <w:tcPr>
            <w:tcW w:type="dxa" w:w="3060"/>
            <w:vAlign w:val="top"/>
            <w:tcMar>
              <w:top w:w="90" w:type="dxa"/>
              <w:start w:w="120" w:type="dxa"/>
              <w:bottom w:w="90" w:type="dxa"/>
              <w:end w:w="120" w:type="dxa"/>
            </w:tcMar>
          </w:tcPr>
          <w:p>
            <w:pPr>
              <w:spacing w:after="0" w:line="250" w:lineRule="auto"/>
            </w:pPr>
            <w:r/>
            <w:r>
              <w:rPr>
                <w:rFonts w:ascii="Aptos" w:hAnsi="Aptos"/>
                <w:b w:val="0"/>
                <w:color w:val="1D2433"/>
                <w:sz w:val="15"/>
              </w:rPr>
              <w:t>Offboarding integration test completes within defined SLO.</w:t>
            </w:r>
          </w:p>
        </w:tc>
      </w:tr>
      <w:tr>
        <w:tc>
          <w:tcPr>
            <w:tcW w:type="dxa" w:w="8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IAM-006</w:t>
            </w:r>
          </w:p>
        </w:tc>
        <w:tc>
          <w:tcPr>
            <w:tcW w:type="dxa" w:w="54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Provide quarterly access recertification and orphan-role detection.</w:t>
            </w:r>
          </w:p>
        </w:tc>
        <w:tc>
          <w:tcPr>
            <w:tcW w:type="dxa" w:w="30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Review workflow produces signed evidence and remediation list.</w:t>
            </w:r>
          </w:p>
        </w:tc>
      </w:tr>
    </w:tbl>
    <w:p>
      <w:pPr>
        <w:spacing w:after="20"/>
      </w:pPr>
    </w:p>
    <w:p>
      <w:pPr>
        <w:pStyle w:val="Heading1"/>
        <w:keepNext/>
      </w:pPr>
      <w:r>
        <w:t>6. Core domain model</w:t>
      </w:r>
    </w:p>
    <w:p>
      <w:pPr>
        <w:pStyle w:val="Heading2"/>
        <w:keepNext/>
      </w:pPr>
      <w:r>
        <w:t>6.1 Conceptual entities</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shd w:fill="0B2545"/>
            <w:tcMar>
              <w:top w:w="90" w:type="dxa"/>
              <w:start w:w="120" w:type="dxa"/>
              <w:bottom w:w="90" w:type="dxa"/>
              <w:end w:w="120" w:type="dxa"/>
            </w:tcMar>
          </w:tcPr>
          <w:p>
            <w:pPr>
              <w:spacing w:after="0"/>
            </w:pPr>
            <w:r/>
            <w:r>
              <w:rPr>
                <w:rFonts w:ascii="Aptos" w:hAnsi="Aptos"/>
                <w:b/>
                <w:color w:val="FFFFFF"/>
                <w:sz w:val="15"/>
              </w:rPr>
              <w:t>Entity</w:t>
            </w:r>
          </w:p>
        </w:tc>
        <w:tc>
          <w:tcPr>
            <w:tcW w:type="dxa" w:w="7260"/>
            <w:shd w:fill="0B2545"/>
            <w:tcMar>
              <w:top w:w="90" w:type="dxa"/>
              <w:start w:w="120" w:type="dxa"/>
              <w:bottom w:w="90" w:type="dxa"/>
              <w:end w:w="120" w:type="dxa"/>
            </w:tcMar>
          </w:tcPr>
          <w:p>
            <w:pPr>
              <w:spacing w:after="0"/>
            </w:pPr>
            <w:r/>
            <w:r>
              <w:rPr>
                <w:rFonts w:ascii="Aptos" w:hAnsi="Aptos"/>
                <w:b/>
                <w:color w:val="FFFFFF"/>
                <w:sz w:val="15"/>
              </w:rPr>
              <w:t>Purpose</w:t>
            </w:r>
          </w:p>
        </w:tc>
      </w:tr>
      <w:tr>
        <w:tc>
          <w:tcPr>
            <w:tcW w:type="dxa" w:w="2100"/>
            <w:vAlign w:val="top"/>
            <w:tcMar>
              <w:top w:w="90" w:type="dxa"/>
              <w:start w:w="120" w:type="dxa"/>
              <w:bottom w:w="90" w:type="dxa"/>
              <w:end w:w="120" w:type="dxa"/>
            </w:tcMar>
          </w:tcPr>
          <w:p>
            <w:pPr>
              <w:spacing w:after="0" w:line="250" w:lineRule="auto"/>
            </w:pPr>
            <w:r/>
            <w:r>
              <w:rPr>
                <w:rFonts w:ascii="Aptos" w:hAnsi="Aptos"/>
                <w:b w:val="0"/>
                <w:color w:val="1D2433"/>
                <w:sz w:val="15"/>
              </w:rPr>
              <w:t>Person</w:t>
            </w:r>
          </w:p>
        </w:tc>
        <w:tc>
          <w:tcPr>
            <w:tcW w:type="dxa" w:w="7260"/>
            <w:vAlign w:val="top"/>
            <w:tcMar>
              <w:top w:w="90" w:type="dxa"/>
              <w:start w:w="120" w:type="dxa"/>
              <w:bottom w:w="90" w:type="dxa"/>
              <w:end w:w="120" w:type="dxa"/>
            </w:tcMar>
          </w:tcPr>
          <w:p>
            <w:pPr>
              <w:spacing w:after="0" w:line="250" w:lineRule="auto"/>
            </w:pPr>
            <w:r/>
            <w:r>
              <w:rPr>
                <w:rFonts w:ascii="Aptos" w:hAnsi="Aptos"/>
                <w:b w:val="0"/>
                <w:color w:val="1D2433"/>
                <w:sz w:val="15"/>
              </w:rPr>
              <w:t>A natural person with minimal identity fields; may be an adult account holder or dependant.</w:t>
            </w:r>
          </w:p>
        </w:tc>
      </w:tr>
      <w:tr>
        <w:tc>
          <w:tcPr>
            <w:tcW w:type="dxa" w:w="21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Account</w:t>
            </w:r>
          </w:p>
        </w:tc>
        <w:tc>
          <w:tcPr>
            <w:tcW w:type="dxa" w:w="72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Authentication and verified contact identity, linked to an adult person.</w:t>
            </w:r>
          </w:p>
        </w:tc>
      </w:tr>
      <w:tr>
        <w:tc>
          <w:tcPr>
            <w:tcW w:type="dxa" w:w="2100"/>
            <w:vAlign w:val="top"/>
            <w:tcMar>
              <w:top w:w="90" w:type="dxa"/>
              <w:start w:w="120" w:type="dxa"/>
              <w:bottom w:w="90" w:type="dxa"/>
              <w:end w:w="120" w:type="dxa"/>
            </w:tcMar>
          </w:tcPr>
          <w:p>
            <w:pPr>
              <w:spacing w:after="0" w:line="250" w:lineRule="auto"/>
            </w:pPr>
            <w:r/>
            <w:r>
              <w:rPr>
                <w:rFonts w:ascii="Aptos" w:hAnsi="Aptos"/>
                <w:b w:val="0"/>
                <w:color w:val="1D2433"/>
                <w:sz w:val="15"/>
              </w:rPr>
              <w:t>Household</w:t>
            </w:r>
          </w:p>
        </w:tc>
        <w:tc>
          <w:tcPr>
            <w:tcW w:type="dxa" w:w="7260"/>
            <w:vAlign w:val="top"/>
            <w:tcMar>
              <w:top w:w="90" w:type="dxa"/>
              <w:start w:w="120" w:type="dxa"/>
              <w:bottom w:w="90" w:type="dxa"/>
              <w:end w:w="120" w:type="dxa"/>
            </w:tcMar>
          </w:tcPr>
          <w:p>
            <w:pPr>
              <w:spacing w:after="0" w:line="250" w:lineRule="auto"/>
            </w:pPr>
            <w:r/>
            <w:r>
              <w:rPr>
                <w:rFonts w:ascii="Aptos" w:hAnsi="Aptos"/>
                <w:b w:val="0"/>
                <w:color w:val="1D2433"/>
                <w:sz w:val="15"/>
              </w:rPr>
              <w:t>Commercial and consent grouping for one or more people, with ownership and permissions.</w:t>
            </w:r>
          </w:p>
        </w:tc>
      </w:tr>
      <w:tr>
        <w:tc>
          <w:tcPr>
            <w:tcW w:type="dxa" w:w="21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Membership</w:t>
            </w:r>
          </w:p>
        </w:tc>
        <w:tc>
          <w:tcPr>
            <w:tcW w:type="dxa" w:w="72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Quantum Club relationship and status for a person/household.</w:t>
            </w:r>
          </w:p>
        </w:tc>
      </w:tr>
      <w:tr>
        <w:tc>
          <w:tcPr>
            <w:tcW w:type="dxa" w:w="2100"/>
            <w:vAlign w:val="top"/>
            <w:tcMar>
              <w:top w:w="90" w:type="dxa"/>
              <w:start w:w="120" w:type="dxa"/>
              <w:bottom w:w="90" w:type="dxa"/>
              <w:end w:w="120" w:type="dxa"/>
            </w:tcMar>
          </w:tcPr>
          <w:p>
            <w:pPr>
              <w:spacing w:after="0" w:line="250" w:lineRule="auto"/>
            </w:pPr>
            <w:r/>
            <w:r>
              <w:rPr>
                <w:rFonts w:ascii="Aptos" w:hAnsi="Aptos"/>
                <w:b w:val="0"/>
                <w:color w:val="1D2433"/>
                <w:sz w:val="15"/>
              </w:rPr>
              <w:t>Park</w:t>
            </w:r>
          </w:p>
        </w:tc>
        <w:tc>
          <w:tcPr>
            <w:tcW w:type="dxa" w:w="7260"/>
            <w:vAlign w:val="top"/>
            <w:tcMar>
              <w:top w:w="90" w:type="dxa"/>
              <w:start w:w="120" w:type="dxa"/>
              <w:bottom w:w="90" w:type="dxa"/>
              <w:end w:w="120" w:type="dxa"/>
            </w:tcMar>
          </w:tcPr>
          <w:p>
            <w:pPr>
              <w:spacing w:after="0" w:line="250" w:lineRule="auto"/>
            </w:pPr>
            <w:r/>
            <w:r>
              <w:rPr>
                <w:rFonts w:ascii="Aptos" w:hAnsi="Aptos"/>
                <w:b w:val="0"/>
                <w:color w:val="1D2433"/>
                <w:sz w:val="15"/>
              </w:rPr>
              <w:t>A configurable Quantum Park location with products, time zone, policies and operational scopes.</w:t>
            </w:r>
          </w:p>
        </w:tc>
      </w:tr>
      <w:tr>
        <w:tc>
          <w:tcPr>
            <w:tcW w:type="dxa" w:w="21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Product</w:t>
            </w:r>
          </w:p>
        </w:tc>
        <w:tc>
          <w:tcPr>
            <w:tcW w:type="dxa" w:w="72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An activity, admission, party, camp, F&amp;B item, add-on, voucher or membership SKU.</w:t>
            </w:r>
          </w:p>
        </w:tc>
      </w:tr>
      <w:tr>
        <w:tc>
          <w:tcPr>
            <w:tcW w:type="dxa" w:w="2100"/>
            <w:vAlign w:val="top"/>
            <w:tcMar>
              <w:top w:w="90" w:type="dxa"/>
              <w:start w:w="120" w:type="dxa"/>
              <w:bottom w:w="90" w:type="dxa"/>
              <w:end w:w="120" w:type="dxa"/>
            </w:tcMar>
          </w:tcPr>
          <w:p>
            <w:pPr>
              <w:spacing w:after="0" w:line="250" w:lineRule="auto"/>
            </w:pPr>
            <w:r/>
            <w:r>
              <w:rPr>
                <w:rFonts w:ascii="Aptos" w:hAnsi="Aptos"/>
                <w:b w:val="0"/>
                <w:color w:val="1D2433"/>
                <w:sz w:val="15"/>
              </w:rPr>
              <w:t>Booking</w:t>
            </w:r>
          </w:p>
        </w:tc>
        <w:tc>
          <w:tcPr>
            <w:tcW w:type="dxa" w:w="7260"/>
            <w:vAlign w:val="top"/>
            <w:tcMar>
              <w:top w:w="90" w:type="dxa"/>
              <w:start w:w="120" w:type="dxa"/>
              <w:bottom w:w="90" w:type="dxa"/>
              <w:end w:w="120" w:type="dxa"/>
            </w:tcMar>
          </w:tcPr>
          <w:p>
            <w:pPr>
              <w:spacing w:after="0" w:line="250" w:lineRule="auto"/>
            </w:pPr>
            <w:r/>
            <w:r>
              <w:rPr>
                <w:rFonts w:ascii="Aptos" w:hAnsi="Aptos"/>
                <w:b w:val="0"/>
                <w:color w:val="1D2433"/>
                <w:sz w:val="15"/>
              </w:rPr>
              <w:t>Reservation/order imported from or created through an approved booking source.</w:t>
            </w:r>
          </w:p>
        </w:tc>
      </w:tr>
      <w:tr>
        <w:tc>
          <w:tcPr>
            <w:tcW w:type="dxa" w:w="21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Visit</w:t>
            </w:r>
          </w:p>
        </w:tc>
        <w:tc>
          <w:tcPr>
            <w:tcW w:type="dxa" w:w="72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Attendance occurrence linked to booking, admission or validated operational event.</w:t>
            </w:r>
          </w:p>
        </w:tc>
      </w:tr>
      <w:tr>
        <w:tc>
          <w:tcPr>
            <w:tcW w:type="dxa" w:w="2100"/>
            <w:vAlign w:val="top"/>
            <w:tcMar>
              <w:top w:w="90" w:type="dxa"/>
              <w:start w:w="120" w:type="dxa"/>
              <w:bottom w:w="90" w:type="dxa"/>
              <w:end w:w="120" w:type="dxa"/>
            </w:tcMar>
          </w:tcPr>
          <w:p>
            <w:pPr>
              <w:spacing w:after="0" w:line="250" w:lineRule="auto"/>
            </w:pPr>
            <w:r/>
            <w:r>
              <w:rPr>
                <w:rFonts w:ascii="Aptos" w:hAnsi="Aptos"/>
                <w:b w:val="0"/>
                <w:color w:val="1D2433"/>
                <w:sz w:val="15"/>
              </w:rPr>
              <w:t>Transaction</w:t>
            </w:r>
          </w:p>
        </w:tc>
        <w:tc>
          <w:tcPr>
            <w:tcW w:type="dxa" w:w="7260"/>
            <w:vAlign w:val="top"/>
            <w:tcMar>
              <w:top w:w="90" w:type="dxa"/>
              <w:start w:w="120" w:type="dxa"/>
              <w:bottom w:w="90" w:type="dxa"/>
              <w:end w:w="120" w:type="dxa"/>
            </w:tcMar>
          </w:tcPr>
          <w:p>
            <w:pPr>
              <w:spacing w:after="0" w:line="250" w:lineRule="auto"/>
            </w:pPr>
            <w:r/>
            <w:r>
              <w:rPr>
                <w:rFonts w:ascii="Aptos" w:hAnsi="Aptos"/>
                <w:b w:val="0"/>
                <w:color w:val="1D2433"/>
                <w:sz w:val="15"/>
              </w:rPr>
              <w:t>Commercial event containing priced line items, tax, discount and payment references.</w:t>
            </w:r>
          </w:p>
        </w:tc>
      </w:tr>
      <w:tr>
        <w:tc>
          <w:tcPr>
            <w:tcW w:type="dxa" w:w="21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Loyalty event</w:t>
            </w:r>
          </w:p>
        </w:tc>
        <w:tc>
          <w:tcPr>
            <w:tcW w:type="dxa" w:w="72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Normalised event evaluated by the rules engine.</w:t>
            </w:r>
          </w:p>
        </w:tc>
      </w:tr>
      <w:tr>
        <w:tc>
          <w:tcPr>
            <w:tcW w:type="dxa" w:w="2100"/>
            <w:vAlign w:val="top"/>
            <w:tcMar>
              <w:top w:w="90" w:type="dxa"/>
              <w:start w:w="120" w:type="dxa"/>
              <w:bottom w:w="90" w:type="dxa"/>
              <w:end w:w="120" w:type="dxa"/>
            </w:tcMar>
          </w:tcPr>
          <w:p>
            <w:pPr>
              <w:spacing w:after="0" w:line="250" w:lineRule="auto"/>
            </w:pPr>
            <w:r/>
            <w:r>
              <w:rPr>
                <w:rFonts w:ascii="Aptos" w:hAnsi="Aptos"/>
                <w:b w:val="0"/>
                <w:color w:val="1D2433"/>
                <w:sz w:val="15"/>
              </w:rPr>
              <w:t>Rule version</w:t>
            </w:r>
          </w:p>
        </w:tc>
        <w:tc>
          <w:tcPr>
            <w:tcW w:type="dxa" w:w="7260"/>
            <w:vAlign w:val="top"/>
            <w:tcMar>
              <w:top w:w="90" w:type="dxa"/>
              <w:start w:w="120" w:type="dxa"/>
              <w:bottom w:w="90" w:type="dxa"/>
              <w:end w:w="120" w:type="dxa"/>
            </w:tcMar>
          </w:tcPr>
          <w:p>
            <w:pPr>
              <w:spacing w:after="0" w:line="250" w:lineRule="auto"/>
            </w:pPr>
            <w:r/>
            <w:r>
              <w:rPr>
                <w:rFonts w:ascii="Aptos" w:hAnsi="Aptos"/>
                <w:b w:val="0"/>
                <w:color w:val="1D2433"/>
                <w:sz w:val="15"/>
              </w:rPr>
              <w:t>Immutable earning, eligibility, expiry or tier logic effective for a time range.</w:t>
            </w:r>
          </w:p>
        </w:tc>
      </w:tr>
      <w:tr>
        <w:tc>
          <w:tcPr>
            <w:tcW w:type="dxa" w:w="21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Ledger account</w:t>
            </w:r>
          </w:p>
        </w:tc>
        <w:tc>
          <w:tcPr>
            <w:tcW w:type="dxa" w:w="72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Container for a specific value type and owner.</w:t>
            </w:r>
          </w:p>
        </w:tc>
      </w:tr>
      <w:tr>
        <w:tc>
          <w:tcPr>
            <w:tcW w:type="dxa" w:w="2100"/>
            <w:vAlign w:val="top"/>
            <w:tcMar>
              <w:top w:w="90" w:type="dxa"/>
              <w:start w:w="120" w:type="dxa"/>
              <w:bottom w:w="90" w:type="dxa"/>
              <w:end w:w="120" w:type="dxa"/>
            </w:tcMar>
          </w:tcPr>
          <w:p>
            <w:pPr>
              <w:spacing w:after="0" w:line="250" w:lineRule="auto"/>
            </w:pPr>
            <w:r/>
            <w:r>
              <w:rPr>
                <w:rFonts w:ascii="Aptos" w:hAnsi="Aptos"/>
                <w:b w:val="0"/>
                <w:color w:val="1D2433"/>
                <w:sz w:val="15"/>
              </w:rPr>
              <w:t>Ledger entry</w:t>
            </w:r>
          </w:p>
        </w:tc>
        <w:tc>
          <w:tcPr>
            <w:tcW w:type="dxa" w:w="7260"/>
            <w:vAlign w:val="top"/>
            <w:tcMar>
              <w:top w:w="90" w:type="dxa"/>
              <w:start w:w="120" w:type="dxa"/>
              <w:bottom w:w="90" w:type="dxa"/>
              <w:end w:w="120" w:type="dxa"/>
            </w:tcMar>
          </w:tcPr>
          <w:p>
            <w:pPr>
              <w:spacing w:after="0" w:line="250" w:lineRule="auto"/>
            </w:pPr>
            <w:r/>
            <w:r>
              <w:rPr>
                <w:rFonts w:ascii="Aptos" w:hAnsi="Aptos"/>
                <w:b w:val="0"/>
                <w:color w:val="1D2433"/>
                <w:sz w:val="15"/>
              </w:rPr>
              <w:t>Immutable debit/credit-style movement with source, reason and correlation.</w:t>
            </w:r>
          </w:p>
        </w:tc>
      </w:tr>
      <w:tr>
        <w:tc>
          <w:tcPr>
            <w:tcW w:type="dxa" w:w="21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Reward definition</w:t>
            </w:r>
          </w:p>
        </w:tc>
        <w:tc>
          <w:tcPr>
            <w:tcW w:type="dxa" w:w="72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Versioned benefit, cost, constraints and fulfilment method.</w:t>
            </w:r>
          </w:p>
        </w:tc>
      </w:tr>
      <w:tr>
        <w:tc>
          <w:tcPr>
            <w:tcW w:type="dxa" w:w="2100"/>
            <w:vAlign w:val="top"/>
            <w:tcMar>
              <w:top w:w="90" w:type="dxa"/>
              <w:start w:w="120" w:type="dxa"/>
              <w:bottom w:w="90" w:type="dxa"/>
              <w:end w:w="120" w:type="dxa"/>
            </w:tcMar>
          </w:tcPr>
          <w:p>
            <w:pPr>
              <w:spacing w:after="0" w:line="250" w:lineRule="auto"/>
            </w:pPr>
            <w:r/>
            <w:r>
              <w:rPr>
                <w:rFonts w:ascii="Aptos" w:hAnsi="Aptos"/>
                <w:b w:val="0"/>
                <w:color w:val="1D2433"/>
                <w:sz w:val="15"/>
              </w:rPr>
              <w:t>Reward instance</w:t>
            </w:r>
          </w:p>
        </w:tc>
        <w:tc>
          <w:tcPr>
            <w:tcW w:type="dxa" w:w="7260"/>
            <w:vAlign w:val="top"/>
            <w:tcMar>
              <w:top w:w="90" w:type="dxa"/>
              <w:start w:w="120" w:type="dxa"/>
              <w:bottom w:w="90" w:type="dxa"/>
              <w:end w:w="120" w:type="dxa"/>
            </w:tcMar>
          </w:tcPr>
          <w:p>
            <w:pPr>
              <w:spacing w:after="0" w:line="250" w:lineRule="auto"/>
            </w:pPr>
            <w:r/>
            <w:r>
              <w:rPr>
                <w:rFonts w:ascii="Aptos" w:hAnsi="Aptos"/>
                <w:b w:val="0"/>
                <w:color w:val="1D2433"/>
                <w:sz w:val="15"/>
              </w:rPr>
              <w:t>Issued/reserved/redeemed/expired/reversed customer-specific reward.</w:t>
            </w:r>
          </w:p>
        </w:tc>
      </w:tr>
      <w:tr>
        <w:tc>
          <w:tcPr>
            <w:tcW w:type="dxa" w:w="21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Voucher/gift card</w:t>
            </w:r>
          </w:p>
        </w:tc>
        <w:tc>
          <w:tcPr>
            <w:tcW w:type="dxa" w:w="72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Unique instrument with monetary or entitlement value and lifecycle.</w:t>
            </w:r>
          </w:p>
        </w:tc>
      </w:tr>
      <w:tr>
        <w:tc>
          <w:tcPr>
            <w:tcW w:type="dxa" w:w="2100"/>
            <w:vAlign w:val="top"/>
            <w:tcMar>
              <w:top w:w="90" w:type="dxa"/>
              <w:start w:w="120" w:type="dxa"/>
              <w:bottom w:w="90" w:type="dxa"/>
              <w:end w:w="120" w:type="dxa"/>
            </w:tcMar>
          </w:tcPr>
          <w:p>
            <w:pPr>
              <w:spacing w:after="0" w:line="250" w:lineRule="auto"/>
            </w:pPr>
            <w:r/>
            <w:r>
              <w:rPr>
                <w:rFonts w:ascii="Aptos" w:hAnsi="Aptos"/>
                <w:b w:val="0"/>
                <w:color w:val="1D2433"/>
                <w:sz w:val="15"/>
              </w:rPr>
              <w:t>Pass/subscription</w:t>
            </w:r>
          </w:p>
        </w:tc>
        <w:tc>
          <w:tcPr>
            <w:tcW w:type="dxa" w:w="7260"/>
            <w:vAlign w:val="top"/>
            <w:tcMar>
              <w:top w:w="90" w:type="dxa"/>
              <w:start w:w="120" w:type="dxa"/>
              <w:bottom w:w="90" w:type="dxa"/>
              <w:end w:w="120" w:type="dxa"/>
            </w:tcMar>
          </w:tcPr>
          <w:p>
            <w:pPr>
              <w:spacing w:after="0" w:line="250" w:lineRule="auto"/>
            </w:pPr>
            <w:r/>
            <w:r>
              <w:rPr>
                <w:rFonts w:ascii="Aptos" w:hAnsi="Aptos"/>
                <w:b w:val="0"/>
                <w:color w:val="1D2433"/>
                <w:sz w:val="15"/>
              </w:rPr>
              <w:t>Time-bound or use-bound access entitlement, optionally recurring.</w:t>
            </w:r>
          </w:p>
        </w:tc>
      </w:tr>
      <w:tr>
        <w:tc>
          <w:tcPr>
            <w:tcW w:type="dxa" w:w="21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Campaign/journey</w:t>
            </w:r>
          </w:p>
        </w:tc>
        <w:tc>
          <w:tcPr>
            <w:tcW w:type="dxa" w:w="72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Governed communication or incentive orchestration.</w:t>
            </w:r>
          </w:p>
        </w:tc>
      </w:tr>
      <w:tr>
        <w:tc>
          <w:tcPr>
            <w:tcW w:type="dxa" w:w="2100"/>
            <w:vAlign w:val="top"/>
            <w:tcMar>
              <w:top w:w="90" w:type="dxa"/>
              <w:start w:w="120" w:type="dxa"/>
              <w:bottom w:w="90" w:type="dxa"/>
              <w:end w:w="120" w:type="dxa"/>
            </w:tcMar>
          </w:tcPr>
          <w:p>
            <w:pPr>
              <w:spacing w:after="0" w:line="250" w:lineRule="auto"/>
            </w:pPr>
            <w:r/>
            <w:r>
              <w:rPr>
                <w:rFonts w:ascii="Aptos" w:hAnsi="Aptos"/>
                <w:b w:val="0"/>
                <w:color w:val="1D2433"/>
                <w:sz w:val="15"/>
              </w:rPr>
              <w:t>Consent/preference</w:t>
            </w:r>
          </w:p>
        </w:tc>
        <w:tc>
          <w:tcPr>
            <w:tcW w:type="dxa" w:w="7260"/>
            <w:vAlign w:val="top"/>
            <w:tcMar>
              <w:top w:w="90" w:type="dxa"/>
              <w:start w:w="120" w:type="dxa"/>
              <w:bottom w:w="90" w:type="dxa"/>
              <w:end w:w="120" w:type="dxa"/>
            </w:tcMar>
          </w:tcPr>
          <w:p>
            <w:pPr>
              <w:spacing w:after="0" w:line="250" w:lineRule="auto"/>
            </w:pPr>
            <w:r/>
            <w:r>
              <w:rPr>
                <w:rFonts w:ascii="Aptos" w:hAnsi="Aptos"/>
                <w:b w:val="0"/>
                <w:color w:val="1D2433"/>
                <w:sz w:val="15"/>
              </w:rPr>
              <w:t>Versioned evidence of legal basis, purpose, channel and status.</w:t>
            </w:r>
          </w:p>
        </w:tc>
      </w:tr>
      <w:tr>
        <w:tc>
          <w:tcPr>
            <w:tcW w:type="dxa" w:w="21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Segment snapshot</w:t>
            </w:r>
          </w:p>
        </w:tc>
        <w:tc>
          <w:tcPr>
            <w:tcW w:type="dxa" w:w="72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Reproducible audience membership at evaluation/send time.</w:t>
            </w:r>
          </w:p>
        </w:tc>
      </w:tr>
      <w:tr>
        <w:tc>
          <w:tcPr>
            <w:tcW w:type="dxa" w:w="2100"/>
            <w:vAlign w:val="top"/>
            <w:tcMar>
              <w:top w:w="90" w:type="dxa"/>
              <w:start w:w="120" w:type="dxa"/>
              <w:bottom w:w="90" w:type="dxa"/>
              <w:end w:w="120" w:type="dxa"/>
            </w:tcMar>
          </w:tcPr>
          <w:p>
            <w:pPr>
              <w:spacing w:after="0" w:line="250" w:lineRule="auto"/>
            </w:pPr>
            <w:r/>
            <w:r>
              <w:rPr>
                <w:rFonts w:ascii="Aptos" w:hAnsi="Aptos"/>
                <w:b w:val="0"/>
                <w:color w:val="1D2433"/>
                <w:sz w:val="15"/>
              </w:rPr>
              <w:t>Staff/device</w:t>
            </w:r>
          </w:p>
        </w:tc>
        <w:tc>
          <w:tcPr>
            <w:tcW w:type="dxa" w:w="7260"/>
            <w:vAlign w:val="top"/>
            <w:tcMar>
              <w:top w:w="90" w:type="dxa"/>
              <w:start w:w="120" w:type="dxa"/>
              <w:bottom w:w="90" w:type="dxa"/>
              <w:end w:w="120" w:type="dxa"/>
            </w:tcMar>
          </w:tcPr>
          <w:p>
            <w:pPr>
              <w:spacing w:after="0" w:line="250" w:lineRule="auto"/>
            </w:pPr>
            <w:r/>
            <w:r>
              <w:rPr>
                <w:rFonts w:ascii="Aptos" w:hAnsi="Aptos"/>
                <w:b w:val="0"/>
                <w:color w:val="1D2433"/>
                <w:sz w:val="15"/>
              </w:rPr>
              <w:t>Workforce identity and trusted scanning/operational endpoint.</w:t>
            </w:r>
          </w:p>
        </w:tc>
      </w:tr>
      <w:tr>
        <w:tc>
          <w:tcPr>
            <w:tcW w:type="dxa" w:w="21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Case</w:t>
            </w:r>
          </w:p>
        </w:tc>
        <w:tc>
          <w:tcPr>
            <w:tcW w:type="dxa" w:w="72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Support, fraud, finance, privacy or reconciliation work item.</w:t>
            </w:r>
          </w:p>
        </w:tc>
      </w:tr>
      <w:tr>
        <w:tc>
          <w:tcPr>
            <w:tcW w:type="dxa" w:w="2100"/>
            <w:vAlign w:val="top"/>
            <w:tcMar>
              <w:top w:w="90" w:type="dxa"/>
              <w:start w:w="120" w:type="dxa"/>
              <w:bottom w:w="90" w:type="dxa"/>
              <w:end w:w="120" w:type="dxa"/>
            </w:tcMar>
          </w:tcPr>
          <w:p>
            <w:pPr>
              <w:spacing w:after="0" w:line="250" w:lineRule="auto"/>
            </w:pPr>
            <w:r/>
            <w:r>
              <w:rPr>
                <w:rFonts w:ascii="Aptos" w:hAnsi="Aptos"/>
                <w:b w:val="0"/>
                <w:color w:val="1D2433"/>
                <w:sz w:val="15"/>
              </w:rPr>
              <w:t>Audit event</w:t>
            </w:r>
          </w:p>
        </w:tc>
        <w:tc>
          <w:tcPr>
            <w:tcW w:type="dxa" w:w="7260"/>
            <w:vAlign w:val="top"/>
            <w:tcMar>
              <w:top w:w="90" w:type="dxa"/>
              <w:start w:w="120" w:type="dxa"/>
              <w:bottom w:w="90" w:type="dxa"/>
              <w:end w:w="120" w:type="dxa"/>
            </w:tcMar>
          </w:tcPr>
          <w:p>
            <w:pPr>
              <w:spacing w:after="0" w:line="250" w:lineRule="auto"/>
            </w:pPr>
            <w:r/>
            <w:r>
              <w:rPr>
                <w:rFonts w:ascii="Aptos" w:hAnsi="Aptos"/>
                <w:b w:val="0"/>
                <w:color w:val="1D2433"/>
                <w:sz w:val="15"/>
              </w:rPr>
              <w:t>Immutable security/administrative evidence.</w:t>
            </w:r>
          </w:p>
        </w:tc>
      </w:tr>
    </w:tbl>
    <w:p>
      <w:pPr>
        <w:spacing w:after="20"/>
      </w:pPr>
    </w:p>
    <w:p>
      <w:pPr>
        <w:pStyle w:val="Heading2"/>
        <w:keepNext/>
      </w:pPr>
      <w:r>
        <w:t>6.2 Identity and household invariants</w:t>
      </w:r>
    </w:p>
    <w:p>
      <w:pPr>
        <w:pStyle w:val="ListBullet"/>
      </w:pPr>
      <w:r>
        <w:rPr>
          <w:rFonts w:ascii="Aptos" w:hAnsi="Aptos"/>
          <w:b w:val="0"/>
          <w:color w:val="1D2433"/>
          <w:sz w:val="19"/>
        </w:rPr>
        <w:t>An account belongs to exactly one adult person at a time; a person may not have two active accounts without a flagged merge case.</w:t>
      </w:r>
    </w:p>
    <w:p>
      <w:pPr>
        <w:pStyle w:val="ListBullet"/>
      </w:pPr>
      <w:r>
        <w:rPr>
          <w:rFonts w:ascii="Aptos" w:hAnsi="Aptos"/>
          <w:b w:val="0"/>
          <w:color w:val="1D2433"/>
          <w:sz w:val="19"/>
        </w:rPr>
        <w:t>A household has exactly one owner and may have authorised adults and dependants.</w:t>
      </w:r>
    </w:p>
    <w:p>
      <w:pPr>
        <w:pStyle w:val="ListBullet"/>
      </w:pPr>
      <w:r>
        <w:rPr>
          <w:rFonts w:ascii="Aptos" w:hAnsi="Aptos"/>
          <w:b w:val="0"/>
          <w:color w:val="1D2433"/>
          <w:sz w:val="19"/>
        </w:rPr>
        <w:t>A dependant may be linked to more than one adult only through an explicit verified permission model; sensitive family relationships must not be inferred.</w:t>
      </w:r>
    </w:p>
    <w:p>
      <w:pPr>
        <w:pStyle w:val="ListBullet"/>
      </w:pPr>
      <w:r>
        <w:rPr>
          <w:rFonts w:ascii="Aptos" w:hAnsi="Aptos"/>
          <w:b w:val="0"/>
          <w:color w:val="1D2433"/>
          <w:sz w:val="19"/>
        </w:rPr>
        <w:t>The same verified email or telephone cannot silently create multiple active adult identities.</w:t>
      </w:r>
    </w:p>
    <w:p>
      <w:pPr>
        <w:pStyle w:val="ListBullet"/>
      </w:pPr>
      <w:r>
        <w:rPr>
          <w:rFonts w:ascii="Aptos" w:hAnsi="Aptos"/>
          <w:b w:val="0"/>
          <w:color w:val="1D2433"/>
          <w:sz w:val="19"/>
        </w:rPr>
        <w:t>Account and household merges are reversible through recorded merge maps; source records are never destructively overwritten.</w:t>
      </w:r>
    </w:p>
    <w:p>
      <w:pPr>
        <w:pStyle w:val="ListBullet"/>
      </w:pPr>
      <w:r>
        <w:rPr>
          <w:rFonts w:ascii="Aptos" w:hAnsi="Aptos"/>
          <w:b w:val="0"/>
          <w:color w:val="1D2433"/>
          <w:sz w:val="19"/>
        </w:rPr>
        <w:t>Customer-facing identifiers are opaque and non-sequential.</w:t>
      </w:r>
    </w:p>
    <w:p>
      <w:pPr>
        <w:pStyle w:val="ListBullet"/>
      </w:pPr>
      <w:r>
        <w:rPr>
          <w:rFonts w:ascii="Aptos" w:hAnsi="Aptos"/>
          <w:b w:val="0"/>
          <w:color w:val="1D2433"/>
          <w:sz w:val="19"/>
        </w:rPr>
        <w:t>Birth dates are collected only when required for an age rule or birthday benefit, with precision minimised where possible.</w:t>
      </w:r>
    </w:p>
    <w:p>
      <w:pPr>
        <w:pStyle w:val="Heading2"/>
        <w:keepNext/>
      </w:pPr>
      <w:r>
        <w:t>6.3 Event model</w:t>
      </w:r>
    </w:p>
    <w:p>
      <w:r>
        <w:rPr>
          <w:rFonts w:ascii="Aptos" w:hAnsi="Aptos"/>
          <w:b w:val="0"/>
          <w:i w:val="0"/>
          <w:color w:val="1D2433"/>
          <w:sz w:val="19"/>
        </w:rPr>
        <w:t>All earning, redemption, campaign and reporting logic must derive from normalised, versioned events. Raw provider payloads are retained according to policy in a protected integration store; canonical events contain only the fields required by the domain. Every event carries a globally unique event ID, source system, source record ID, occurred-at time, received-at time, park, actor, subject, correlation ID, idempotency key, schema version and integrity status.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vAlign w:val="center"/>
            <w:shd w:fill="0B2545"/>
            <w:tcMar>
              <w:top w:w="90" w:type="dxa"/>
              <w:start w:w="120" w:type="dxa"/>
              <w:bottom w:w="90" w:type="dxa"/>
              <w:end w:w="120" w:type="dxa"/>
            </w:tcMar>
          </w:tcPr>
          <w:p>
            <w:pPr>
              <w:spacing w:after="0"/>
            </w:pPr>
            <w:r/>
            <w:r>
              <w:rPr>
                <w:rFonts w:ascii="Aptos" w:hAnsi="Aptos"/>
                <w:b/>
                <w:color w:val="FFFFFF"/>
                <w:sz w:val="15"/>
              </w:rPr>
              <w:t>Event family</w:t>
            </w:r>
          </w:p>
        </w:tc>
        <w:tc>
          <w:tcPr>
            <w:tcW w:type="dxa" w:w="7460"/>
            <w:shd w:fill="0B2545"/>
            <w:tcMar>
              <w:top w:w="90" w:type="dxa"/>
              <w:start w:w="120" w:type="dxa"/>
              <w:bottom w:w="90" w:type="dxa"/>
              <w:end w:w="120" w:type="dxa"/>
            </w:tcMar>
          </w:tcPr>
          <w:p>
            <w:pPr>
              <w:spacing w:after="0"/>
            </w:pPr>
            <w:r/>
            <w:r>
              <w:rPr>
                <w:rFonts w:ascii="Aptos" w:hAnsi="Aptos"/>
                <w:b/>
                <w:color w:val="FFFFFF"/>
                <w:sz w:val="15"/>
              </w:rPr>
              <w:t>Examples</w:t>
            </w:r>
          </w:p>
        </w:tc>
      </w:tr>
      <w:tr>
        <w:tc>
          <w:tcPr>
            <w:tcW w:type="dxa" w:w="1900"/>
            <w:vAlign w:val="top"/>
            <w:tcMar>
              <w:top w:w="90" w:type="dxa"/>
              <w:start w:w="120" w:type="dxa"/>
              <w:bottom w:w="90" w:type="dxa"/>
              <w:end w:w="120" w:type="dxa"/>
            </w:tcMar>
          </w:tcPr>
          <w:p>
            <w:pPr>
              <w:spacing w:after="0" w:line="250" w:lineRule="auto"/>
            </w:pPr>
            <w:r/>
            <w:r>
              <w:rPr>
                <w:rFonts w:ascii="Aptos" w:hAnsi="Aptos"/>
                <w:b w:val="0"/>
                <w:color w:val="1D2433"/>
                <w:sz w:val="15"/>
              </w:rPr>
              <w:t>Commercial</w:t>
            </w:r>
          </w:p>
        </w:tc>
        <w:tc>
          <w:tcPr>
            <w:tcW w:type="dxa" w:w="7460"/>
            <w:vAlign w:val="top"/>
            <w:tcMar>
              <w:top w:w="90" w:type="dxa"/>
              <w:start w:w="120" w:type="dxa"/>
              <w:bottom w:w="90" w:type="dxa"/>
              <w:end w:w="120" w:type="dxa"/>
            </w:tcMar>
          </w:tcPr>
          <w:p>
            <w:pPr>
              <w:spacing w:after="0" w:line="250" w:lineRule="auto"/>
            </w:pPr>
            <w:r/>
            <w:r>
              <w:rPr>
                <w:rFonts w:ascii="Aptos" w:hAnsi="Aptos"/>
                <w:b w:val="0"/>
                <w:color w:val="1D2433"/>
                <w:sz w:val="15"/>
              </w:rPr>
              <w:t>booking.created, booking.paid, transaction.completed, transaction.refunded, voucher.purchased</w:t>
            </w:r>
          </w:p>
        </w:tc>
      </w:tr>
      <w:tr>
        <w:tc>
          <w:tcPr>
            <w:tcW w:type="dxa" w:w="19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Attendance</w:t>
            </w:r>
          </w:p>
        </w:tc>
        <w:tc>
          <w:tcPr>
            <w:tcW w:type="dxa" w:w="74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visit.checked_in, activity.completed, party.attended, camp.day_attended</w:t>
            </w:r>
          </w:p>
        </w:tc>
      </w:tr>
      <w:tr>
        <w:tc>
          <w:tcPr>
            <w:tcW w:type="dxa" w:w="1900"/>
            <w:vAlign w:val="top"/>
            <w:tcMar>
              <w:top w:w="90" w:type="dxa"/>
              <w:start w:w="120" w:type="dxa"/>
              <w:bottom w:w="90" w:type="dxa"/>
              <w:end w:w="120" w:type="dxa"/>
            </w:tcMar>
          </w:tcPr>
          <w:p>
            <w:pPr>
              <w:spacing w:after="0" w:line="250" w:lineRule="auto"/>
            </w:pPr>
            <w:r/>
            <w:r>
              <w:rPr>
                <w:rFonts w:ascii="Aptos" w:hAnsi="Aptos"/>
                <w:b w:val="0"/>
                <w:color w:val="1D2433"/>
                <w:sz w:val="15"/>
              </w:rPr>
              <w:t>Loyalty</w:t>
            </w:r>
          </w:p>
        </w:tc>
        <w:tc>
          <w:tcPr>
            <w:tcW w:type="dxa" w:w="7460"/>
            <w:vAlign w:val="top"/>
            <w:tcMar>
              <w:top w:w="90" w:type="dxa"/>
              <w:start w:w="120" w:type="dxa"/>
              <w:bottom w:w="90" w:type="dxa"/>
              <w:end w:w="120" w:type="dxa"/>
            </w:tcMar>
          </w:tcPr>
          <w:p>
            <w:pPr>
              <w:spacing w:after="0" w:line="250" w:lineRule="auto"/>
            </w:pPr>
            <w:r/>
            <w:r>
              <w:rPr>
                <w:rFonts w:ascii="Aptos" w:hAnsi="Aptos"/>
                <w:b w:val="0"/>
                <w:color w:val="1D2433"/>
                <w:sz w:val="15"/>
              </w:rPr>
              <w:t>points.earned, reward.issued, reward.redeemed, tier.changed, challenge.completed</w:t>
            </w:r>
          </w:p>
        </w:tc>
      </w:tr>
      <w:tr>
        <w:tc>
          <w:tcPr>
            <w:tcW w:type="dxa" w:w="19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Identity</w:t>
            </w:r>
          </w:p>
        </w:tc>
        <w:tc>
          <w:tcPr>
            <w:tcW w:type="dxa" w:w="74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account.verified, household.member_added, profile.merged, card.reissued</w:t>
            </w:r>
          </w:p>
        </w:tc>
      </w:tr>
      <w:tr>
        <w:tc>
          <w:tcPr>
            <w:tcW w:type="dxa" w:w="1900"/>
            <w:vAlign w:val="top"/>
            <w:tcMar>
              <w:top w:w="90" w:type="dxa"/>
              <w:start w:w="120" w:type="dxa"/>
              <w:bottom w:w="90" w:type="dxa"/>
              <w:end w:w="120" w:type="dxa"/>
            </w:tcMar>
          </w:tcPr>
          <w:p>
            <w:pPr>
              <w:spacing w:after="0" w:line="250" w:lineRule="auto"/>
            </w:pPr>
            <w:r/>
            <w:r>
              <w:rPr>
                <w:rFonts w:ascii="Aptos" w:hAnsi="Aptos"/>
                <w:b w:val="0"/>
                <w:color w:val="1D2433"/>
                <w:sz w:val="15"/>
              </w:rPr>
              <w:t>Consent</w:t>
            </w:r>
          </w:p>
        </w:tc>
        <w:tc>
          <w:tcPr>
            <w:tcW w:type="dxa" w:w="7460"/>
            <w:vAlign w:val="top"/>
            <w:tcMar>
              <w:top w:w="90" w:type="dxa"/>
              <w:start w:w="120" w:type="dxa"/>
              <w:bottom w:w="90" w:type="dxa"/>
              <w:end w:w="120" w:type="dxa"/>
            </w:tcMar>
          </w:tcPr>
          <w:p>
            <w:pPr>
              <w:spacing w:after="0" w:line="250" w:lineRule="auto"/>
            </w:pPr>
            <w:r/>
            <w:r>
              <w:rPr>
                <w:rFonts w:ascii="Aptos" w:hAnsi="Aptos"/>
                <w:b w:val="0"/>
                <w:color w:val="1D2433"/>
                <w:sz w:val="15"/>
              </w:rPr>
              <w:t>consent.granted, consent.withdrawn, preference.changed, suppression.applied</w:t>
            </w:r>
          </w:p>
        </w:tc>
      </w:tr>
      <w:tr>
        <w:tc>
          <w:tcPr>
            <w:tcW w:type="dxa" w:w="19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Campaign</w:t>
            </w:r>
          </w:p>
        </w:tc>
        <w:tc>
          <w:tcPr>
            <w:tcW w:type="dxa" w:w="74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journey.entered, message.sent, message.delivered, message.clicked, conversion.attributed</w:t>
            </w:r>
          </w:p>
        </w:tc>
      </w:tr>
      <w:tr>
        <w:tc>
          <w:tcPr>
            <w:tcW w:type="dxa" w:w="1900"/>
            <w:vAlign w:val="top"/>
            <w:tcMar>
              <w:top w:w="90" w:type="dxa"/>
              <w:start w:w="120" w:type="dxa"/>
              <w:bottom w:w="90" w:type="dxa"/>
              <w:end w:w="120" w:type="dxa"/>
            </w:tcMar>
          </w:tcPr>
          <w:p>
            <w:pPr>
              <w:spacing w:after="0" w:line="250" w:lineRule="auto"/>
            </w:pPr>
            <w:r/>
            <w:r>
              <w:rPr>
                <w:rFonts w:ascii="Aptos" w:hAnsi="Aptos"/>
                <w:b w:val="0"/>
                <w:color w:val="1D2433"/>
                <w:sz w:val="15"/>
              </w:rPr>
              <w:t>Operations</w:t>
            </w:r>
          </w:p>
        </w:tc>
        <w:tc>
          <w:tcPr>
            <w:tcW w:type="dxa" w:w="7460"/>
            <w:vAlign w:val="top"/>
            <w:tcMar>
              <w:top w:w="90" w:type="dxa"/>
              <w:start w:w="120" w:type="dxa"/>
              <w:bottom w:w="90" w:type="dxa"/>
              <w:end w:w="120" w:type="dxa"/>
            </w:tcMar>
          </w:tcPr>
          <w:p>
            <w:pPr>
              <w:spacing w:after="0" w:line="250" w:lineRule="auto"/>
            </w:pPr>
            <w:r/>
            <w:r>
              <w:rPr>
                <w:rFonts w:ascii="Aptos" w:hAnsi="Aptos"/>
                <w:b w:val="0"/>
                <w:color w:val="1D2433"/>
                <w:sz w:val="15"/>
              </w:rPr>
              <w:t>scan.accepted, scan.denied, offline.authorization, reconciliation.failed</w:t>
            </w:r>
          </w:p>
        </w:tc>
      </w:tr>
      <w:tr>
        <w:tc>
          <w:tcPr>
            <w:tcW w:type="dxa" w:w="19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Security/privacy</w:t>
            </w:r>
          </w:p>
        </w:tc>
        <w:tc>
          <w:tcPr>
            <w:tcW w:type="dxa" w:w="74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login.risk_detected, export.created, dsar.completed, admin.elevation</w:t>
            </w:r>
          </w:p>
        </w:tc>
      </w:tr>
    </w:tbl>
    <w:p>
      <w:pPr>
        <w:spacing w:after="20"/>
      </w:pPr>
    </w:p>
    <w:p>
      <w:pPr>
        <w:pStyle w:val="Heading1"/>
        <w:keepNext/>
      </w:pPr>
      <w:r>
        <w:t>7. Customer experience requirements</w:t>
      </w:r>
    </w:p>
    <w:p>
      <w:pPr>
        <w:pStyle w:val="Heading2"/>
        <w:keepNext/>
      </w:pPr>
      <w:r>
        <w:t>7.1 Registration, claim and sign-in</w:t>
      </w:r>
    </w:p>
    <w:tbl>
      <w:tblPr>
        <w:tblStyle w:val="TableGrid"/>
        <w:tblW w:type="dxa" w:w="9360"/>
        <w:jc w:val="left"/>
        <w:tblLayout w:type="fixed"/>
        <w:tblLook w:firstColumn="1" w:firstRow="1" w:lastColumn="0" w:lastRow="0" w:noHBand="0" w:noVBand="1" w:val="04A0"/>
        <w:tblInd w:w="120" w:type="dxa"/>
      </w:tblPr>
      <w:tblGrid>
        <w:gridCol w:w="850"/>
        <w:gridCol w:w="5450"/>
        <w:gridCol w:w="3060"/>
      </w:tblGrid>
      <w:tr>
        <w:trPr>
          <w:tblHeader w:val="true"/>
        </w:trPr>
        <w:tc>
          <w:tcPr>
            <w:tcW w:type="dxa" w:w="850"/>
            <w:vAlign w:val="center"/>
            <w:shd w:fill="0B2545"/>
            <w:tcMar>
              <w:top w:w="90" w:type="dxa"/>
              <w:start w:w="120" w:type="dxa"/>
              <w:bottom w:w="90" w:type="dxa"/>
              <w:end w:w="120" w:type="dxa"/>
            </w:tcMar>
          </w:tcPr>
          <w:p>
            <w:pPr>
              <w:spacing w:after="0"/>
            </w:pPr>
            <w:r/>
            <w:r>
              <w:rPr>
                <w:rFonts w:ascii="Aptos" w:hAnsi="Aptos"/>
                <w:b/>
                <w:color w:val="FFFFFF"/>
                <w:sz w:val="15"/>
              </w:rPr>
              <w:t>ID</w:t>
            </w:r>
          </w:p>
        </w:tc>
        <w:tc>
          <w:tcPr>
            <w:tcW w:type="dxa" w:w="5450"/>
            <w:shd w:fill="0B2545"/>
            <w:tcMar>
              <w:top w:w="90" w:type="dxa"/>
              <w:start w:w="120" w:type="dxa"/>
              <w:bottom w:w="90" w:type="dxa"/>
              <w:end w:w="120" w:type="dxa"/>
            </w:tcMar>
          </w:tcPr>
          <w:p>
            <w:pPr>
              <w:spacing w:after="0"/>
            </w:pPr>
            <w:r/>
            <w:r>
              <w:rPr>
                <w:rFonts w:ascii="Aptos" w:hAnsi="Aptos"/>
                <w:b/>
                <w:color w:val="FFFFFF"/>
                <w:sz w:val="15"/>
              </w:rPr>
              <w:t>Production requirement</w:t>
            </w:r>
          </w:p>
        </w:tc>
        <w:tc>
          <w:tcPr>
            <w:tcW w:type="dxa" w:w="3060"/>
            <w:shd w:fill="0B2545"/>
            <w:tcMar>
              <w:top w:w="90" w:type="dxa"/>
              <w:start w:w="120" w:type="dxa"/>
              <w:bottom w:w="90" w:type="dxa"/>
              <w:end w:w="120" w:type="dxa"/>
            </w:tcMar>
          </w:tcPr>
          <w:p>
            <w:pPr>
              <w:spacing w:after="0"/>
            </w:pPr>
            <w:r/>
            <w:r>
              <w:rPr>
                <w:rFonts w:ascii="Aptos" w:hAnsi="Aptos"/>
                <w:b/>
                <w:color w:val="FFFFFF"/>
                <w:sz w:val="15"/>
              </w:rPr>
              <w:t>Acceptance evidence</w:t>
            </w:r>
          </w:p>
        </w:tc>
      </w:tr>
      <w:tr>
        <w:tc>
          <w:tcPr>
            <w:tcW w:type="dxa" w:w="850"/>
            <w:vAlign w:val="top"/>
            <w:tcMar>
              <w:top w:w="90" w:type="dxa"/>
              <w:start w:w="120" w:type="dxa"/>
              <w:bottom w:w="90" w:type="dxa"/>
              <w:end w:w="120" w:type="dxa"/>
            </w:tcMar>
          </w:tcPr>
          <w:p>
            <w:pPr>
              <w:spacing w:after="0" w:line="250" w:lineRule="auto"/>
            </w:pPr>
            <w:r/>
            <w:r>
              <w:rPr>
                <w:rFonts w:ascii="Aptos" w:hAnsi="Aptos"/>
                <w:b w:val="0"/>
                <w:color w:val="1D2433"/>
                <w:sz w:val="15"/>
              </w:rPr>
              <w:t>CUS-001</w:t>
            </w:r>
          </w:p>
        </w:tc>
        <w:tc>
          <w:tcPr>
            <w:tcW w:type="dxa" w:w="5450"/>
            <w:vAlign w:val="top"/>
            <w:tcMar>
              <w:top w:w="90" w:type="dxa"/>
              <w:start w:w="120" w:type="dxa"/>
              <w:bottom w:w="90" w:type="dxa"/>
              <w:end w:w="120" w:type="dxa"/>
            </w:tcMar>
          </w:tcPr>
          <w:p>
            <w:pPr>
              <w:spacing w:after="0" w:line="250" w:lineRule="auto"/>
            </w:pPr>
            <w:r/>
            <w:r>
              <w:rPr>
                <w:rFonts w:ascii="Aptos" w:hAnsi="Aptos"/>
                <w:b w:val="0"/>
                <w:color w:val="1D2433"/>
                <w:sz w:val="15"/>
              </w:rPr>
              <w:t>Allow adult registration by verified email or mobile, with passwordless sign-in supported and secure recovery.</w:t>
            </w:r>
          </w:p>
        </w:tc>
        <w:tc>
          <w:tcPr>
            <w:tcW w:type="dxa" w:w="3060"/>
            <w:vAlign w:val="top"/>
            <w:tcMar>
              <w:top w:w="90" w:type="dxa"/>
              <w:start w:w="120" w:type="dxa"/>
              <w:bottom w:w="90" w:type="dxa"/>
              <w:end w:w="120" w:type="dxa"/>
            </w:tcMar>
          </w:tcPr>
          <w:p>
            <w:pPr>
              <w:spacing w:after="0" w:line="250" w:lineRule="auto"/>
            </w:pPr>
            <w:r/>
            <w:r>
              <w:rPr>
                <w:rFonts w:ascii="Aptos" w:hAnsi="Aptos"/>
                <w:b w:val="0"/>
                <w:color w:val="1D2433"/>
                <w:sz w:val="15"/>
              </w:rPr>
              <w:t>New, returning, expired-link, changed-number and compromised-account tests pass.</w:t>
            </w:r>
          </w:p>
        </w:tc>
      </w:tr>
      <w:tr>
        <w:tc>
          <w:tcPr>
            <w:tcW w:type="dxa" w:w="8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CUS-002</w:t>
            </w:r>
          </w:p>
        </w:tc>
        <w:tc>
          <w:tcPr>
            <w:tcW w:type="dxa" w:w="54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Allow a booking customer to claim existing eligible history after verification and deterministic matching.</w:t>
            </w:r>
          </w:p>
        </w:tc>
        <w:tc>
          <w:tcPr>
            <w:tcW w:type="dxa" w:w="30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Claim preview, conflict, decline and successful attachment scenarios pass.</w:t>
            </w:r>
          </w:p>
        </w:tc>
      </w:tr>
      <w:tr>
        <w:tc>
          <w:tcPr>
            <w:tcW w:type="dxa" w:w="850"/>
            <w:vAlign w:val="top"/>
            <w:tcMar>
              <w:top w:w="90" w:type="dxa"/>
              <w:start w:w="120" w:type="dxa"/>
              <w:bottom w:w="90" w:type="dxa"/>
              <w:end w:w="120" w:type="dxa"/>
            </w:tcMar>
          </w:tcPr>
          <w:p>
            <w:pPr>
              <w:spacing w:after="0" w:line="250" w:lineRule="auto"/>
            </w:pPr>
            <w:r/>
            <w:r>
              <w:rPr>
                <w:rFonts w:ascii="Aptos" w:hAnsi="Aptos"/>
                <w:b w:val="0"/>
                <w:color w:val="1D2433"/>
                <w:sz w:val="15"/>
              </w:rPr>
              <w:t>CUS-003</w:t>
            </w:r>
          </w:p>
        </w:tc>
        <w:tc>
          <w:tcPr>
            <w:tcW w:type="dxa" w:w="5450"/>
            <w:vAlign w:val="top"/>
            <w:tcMar>
              <w:top w:w="90" w:type="dxa"/>
              <w:start w:w="120" w:type="dxa"/>
              <w:bottom w:w="90" w:type="dxa"/>
              <w:end w:w="120" w:type="dxa"/>
            </w:tcMar>
          </w:tcPr>
          <w:p>
            <w:pPr>
              <w:spacing w:after="0" w:line="250" w:lineRule="auto"/>
            </w:pPr>
            <w:r/>
            <w:r>
              <w:rPr>
                <w:rFonts w:ascii="Aptos" w:hAnsi="Aptos"/>
                <w:b w:val="0"/>
                <w:color w:val="1D2433"/>
                <w:sz w:val="15"/>
              </w:rPr>
              <w:t>Prevent silent duplicate accounts; route ambiguous matches to privacy-preserving resolution.</w:t>
            </w:r>
          </w:p>
        </w:tc>
        <w:tc>
          <w:tcPr>
            <w:tcW w:type="dxa" w:w="3060"/>
            <w:vAlign w:val="top"/>
            <w:tcMar>
              <w:top w:w="90" w:type="dxa"/>
              <w:start w:w="120" w:type="dxa"/>
              <w:bottom w:w="90" w:type="dxa"/>
              <w:end w:w="120" w:type="dxa"/>
            </w:tcMar>
          </w:tcPr>
          <w:p>
            <w:pPr>
              <w:spacing w:after="0" w:line="250" w:lineRule="auto"/>
            </w:pPr>
            <w:r/>
            <w:r>
              <w:rPr>
                <w:rFonts w:ascii="Aptos" w:hAnsi="Aptos"/>
                <w:b w:val="0"/>
                <w:color w:val="1D2433"/>
                <w:sz w:val="15"/>
              </w:rPr>
              <w:t>Duplicate suite proves no cross-household data disclosure.</w:t>
            </w:r>
          </w:p>
        </w:tc>
      </w:tr>
      <w:tr>
        <w:tc>
          <w:tcPr>
            <w:tcW w:type="dxa" w:w="8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CUS-004</w:t>
            </w:r>
          </w:p>
        </w:tc>
        <w:tc>
          <w:tcPr>
            <w:tcW w:type="dxa" w:w="54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Show terms, privacy information and granular communication choices in European Portuguese and English.</w:t>
            </w:r>
          </w:p>
        </w:tc>
        <w:tc>
          <w:tcPr>
            <w:tcW w:type="dxa" w:w="30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Versioned evidence includes text version, purpose, time and source.</w:t>
            </w:r>
          </w:p>
        </w:tc>
      </w:tr>
      <w:tr>
        <w:tc>
          <w:tcPr>
            <w:tcW w:type="dxa" w:w="850"/>
            <w:vAlign w:val="top"/>
            <w:tcMar>
              <w:top w:w="90" w:type="dxa"/>
              <w:start w:w="120" w:type="dxa"/>
              <w:bottom w:w="90" w:type="dxa"/>
              <w:end w:w="120" w:type="dxa"/>
            </w:tcMar>
          </w:tcPr>
          <w:p>
            <w:pPr>
              <w:spacing w:after="0" w:line="250" w:lineRule="auto"/>
            </w:pPr>
            <w:r/>
            <w:r>
              <w:rPr>
                <w:rFonts w:ascii="Aptos" w:hAnsi="Aptos"/>
                <w:b w:val="0"/>
                <w:color w:val="1D2433"/>
                <w:sz w:val="15"/>
              </w:rPr>
              <w:t>CUS-005</w:t>
            </w:r>
          </w:p>
        </w:tc>
        <w:tc>
          <w:tcPr>
            <w:tcW w:type="dxa" w:w="5450"/>
            <w:vAlign w:val="top"/>
            <w:tcMar>
              <w:top w:w="90" w:type="dxa"/>
              <w:start w:w="120" w:type="dxa"/>
              <w:bottom w:w="90" w:type="dxa"/>
              <w:end w:w="120" w:type="dxa"/>
            </w:tcMar>
          </w:tcPr>
          <w:p>
            <w:pPr>
              <w:spacing w:after="0" w:line="250" w:lineRule="auto"/>
            </w:pPr>
            <w:r/>
            <w:r>
              <w:rPr>
                <w:rFonts w:ascii="Aptos" w:hAnsi="Aptos"/>
                <w:b w:val="0"/>
                <w:color w:val="1D2433"/>
                <w:sz w:val="15"/>
              </w:rPr>
              <w:t>Allow guest checkout/booking interactions to remain possible where the source channel permits; loyalty consent is not forced.</w:t>
            </w:r>
          </w:p>
        </w:tc>
        <w:tc>
          <w:tcPr>
            <w:tcW w:type="dxa" w:w="3060"/>
            <w:vAlign w:val="top"/>
            <w:tcMar>
              <w:top w:w="90" w:type="dxa"/>
              <w:start w:w="120" w:type="dxa"/>
              <w:bottom w:w="90" w:type="dxa"/>
              <w:end w:w="120" w:type="dxa"/>
            </w:tcMar>
          </w:tcPr>
          <w:p>
            <w:pPr>
              <w:spacing w:after="0" w:line="250" w:lineRule="auto"/>
            </w:pPr>
            <w:r/>
            <w:r>
              <w:rPr>
                <w:rFonts w:ascii="Aptos" w:hAnsi="Aptos"/>
                <w:b w:val="0"/>
                <w:color w:val="1D2433"/>
                <w:sz w:val="15"/>
              </w:rPr>
              <w:t>Withdrawal/non-membership journeys remain operational.</w:t>
            </w:r>
          </w:p>
        </w:tc>
      </w:tr>
      <w:tr>
        <w:tc>
          <w:tcPr>
            <w:tcW w:type="dxa" w:w="8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CUS-006</w:t>
            </w:r>
          </w:p>
        </w:tc>
        <w:tc>
          <w:tcPr>
            <w:tcW w:type="dxa" w:w="54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Require adult confirmation before creating or associating a dependant.</w:t>
            </w:r>
          </w:p>
        </w:tc>
        <w:tc>
          <w:tcPr>
            <w:tcW w:type="dxa" w:w="30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Age and guardian test matrix passes.</w:t>
            </w:r>
          </w:p>
        </w:tc>
      </w:tr>
    </w:tbl>
    <w:p>
      <w:pPr>
        <w:spacing w:after="20"/>
      </w:pPr>
    </w:p>
    <w:p>
      <w:pPr>
        <w:pStyle w:val="Heading2"/>
        <w:keepNext/>
      </w:pPr>
      <w:r>
        <w:t>7.2 Household and dependant management</w:t>
      </w:r>
    </w:p>
    <w:tbl>
      <w:tblPr>
        <w:tblStyle w:val="TableGrid"/>
        <w:tblW w:type="dxa" w:w="9360"/>
        <w:jc w:val="left"/>
        <w:tblLayout w:type="fixed"/>
        <w:tblLook w:firstColumn="1" w:firstRow="1" w:lastColumn="0" w:lastRow="0" w:noHBand="0" w:noVBand="1" w:val="04A0"/>
        <w:tblInd w:w="120" w:type="dxa"/>
      </w:tblPr>
      <w:tblGrid>
        <w:gridCol w:w="850"/>
        <w:gridCol w:w="5450"/>
        <w:gridCol w:w="3060"/>
      </w:tblGrid>
      <w:tr>
        <w:trPr>
          <w:tblHeader w:val="true"/>
        </w:trPr>
        <w:tc>
          <w:tcPr>
            <w:tcW w:type="dxa" w:w="850"/>
            <w:vAlign w:val="center"/>
            <w:shd w:fill="0B2545"/>
            <w:tcMar>
              <w:top w:w="90" w:type="dxa"/>
              <w:start w:w="120" w:type="dxa"/>
              <w:bottom w:w="90" w:type="dxa"/>
              <w:end w:w="120" w:type="dxa"/>
            </w:tcMar>
          </w:tcPr>
          <w:p>
            <w:pPr>
              <w:spacing w:after="0"/>
            </w:pPr>
            <w:r/>
            <w:r>
              <w:rPr>
                <w:rFonts w:ascii="Aptos" w:hAnsi="Aptos"/>
                <w:b/>
                <w:color w:val="FFFFFF"/>
                <w:sz w:val="15"/>
              </w:rPr>
              <w:t>ID</w:t>
            </w:r>
          </w:p>
        </w:tc>
        <w:tc>
          <w:tcPr>
            <w:tcW w:type="dxa" w:w="5450"/>
            <w:shd w:fill="0B2545"/>
            <w:tcMar>
              <w:top w:w="90" w:type="dxa"/>
              <w:start w:w="120" w:type="dxa"/>
              <w:bottom w:w="90" w:type="dxa"/>
              <w:end w:w="120" w:type="dxa"/>
            </w:tcMar>
          </w:tcPr>
          <w:p>
            <w:pPr>
              <w:spacing w:after="0"/>
            </w:pPr>
            <w:r/>
            <w:r>
              <w:rPr>
                <w:rFonts w:ascii="Aptos" w:hAnsi="Aptos"/>
                <w:b/>
                <w:color w:val="FFFFFF"/>
                <w:sz w:val="15"/>
              </w:rPr>
              <w:t>Production requirement</w:t>
            </w:r>
          </w:p>
        </w:tc>
        <w:tc>
          <w:tcPr>
            <w:tcW w:type="dxa" w:w="3060"/>
            <w:shd w:fill="0B2545"/>
            <w:tcMar>
              <w:top w:w="90" w:type="dxa"/>
              <w:start w:w="120" w:type="dxa"/>
              <w:bottom w:w="90" w:type="dxa"/>
              <w:end w:w="120" w:type="dxa"/>
            </w:tcMar>
          </w:tcPr>
          <w:p>
            <w:pPr>
              <w:spacing w:after="0"/>
            </w:pPr>
            <w:r/>
            <w:r>
              <w:rPr>
                <w:rFonts w:ascii="Aptos" w:hAnsi="Aptos"/>
                <w:b/>
                <w:color w:val="FFFFFF"/>
                <w:sz w:val="15"/>
              </w:rPr>
              <w:t>Acceptance evidence</w:t>
            </w:r>
          </w:p>
        </w:tc>
      </w:tr>
      <w:tr>
        <w:tc>
          <w:tcPr>
            <w:tcW w:type="dxa" w:w="850"/>
            <w:vAlign w:val="top"/>
            <w:tcMar>
              <w:top w:w="90" w:type="dxa"/>
              <w:start w:w="120" w:type="dxa"/>
              <w:bottom w:w="90" w:type="dxa"/>
              <w:end w:w="120" w:type="dxa"/>
            </w:tcMar>
          </w:tcPr>
          <w:p>
            <w:pPr>
              <w:spacing w:after="0" w:line="250" w:lineRule="auto"/>
            </w:pPr>
            <w:r/>
            <w:r>
              <w:rPr>
                <w:rFonts w:ascii="Aptos" w:hAnsi="Aptos"/>
                <w:b w:val="0"/>
                <w:color w:val="1D2433"/>
                <w:sz w:val="15"/>
              </w:rPr>
              <w:t>HH-001</w:t>
            </w:r>
          </w:p>
        </w:tc>
        <w:tc>
          <w:tcPr>
            <w:tcW w:type="dxa" w:w="5450"/>
            <w:vAlign w:val="top"/>
            <w:tcMar>
              <w:top w:w="90" w:type="dxa"/>
              <w:start w:w="120" w:type="dxa"/>
              <w:bottom w:w="90" w:type="dxa"/>
              <w:end w:w="120" w:type="dxa"/>
            </w:tcMar>
          </w:tcPr>
          <w:p>
            <w:pPr>
              <w:spacing w:after="0" w:line="250" w:lineRule="auto"/>
            </w:pPr>
            <w:r/>
            <w:r>
              <w:rPr>
                <w:rFonts w:ascii="Aptos" w:hAnsi="Aptos"/>
                <w:b w:val="0"/>
                <w:color w:val="1D2433"/>
                <w:sz w:val="15"/>
              </w:rPr>
              <w:t>Create, rename and manage a household with an owner, authorised adults and dependants.</w:t>
            </w:r>
          </w:p>
        </w:tc>
        <w:tc>
          <w:tcPr>
            <w:tcW w:type="dxa" w:w="3060"/>
            <w:vAlign w:val="top"/>
            <w:tcMar>
              <w:top w:w="90" w:type="dxa"/>
              <w:start w:w="120" w:type="dxa"/>
              <w:bottom w:w="90" w:type="dxa"/>
              <w:end w:w="120" w:type="dxa"/>
            </w:tcMar>
          </w:tcPr>
          <w:p>
            <w:pPr>
              <w:spacing w:after="0" w:line="250" w:lineRule="auto"/>
            </w:pPr>
            <w:r/>
            <w:r>
              <w:rPr>
                <w:rFonts w:ascii="Aptos" w:hAnsi="Aptos"/>
                <w:b w:val="0"/>
                <w:color w:val="1D2433"/>
                <w:sz w:val="15"/>
              </w:rPr>
              <w:t>Permission tests cover invite, accept, revoke and ownership transfer.</w:t>
            </w:r>
          </w:p>
        </w:tc>
      </w:tr>
      <w:tr>
        <w:tc>
          <w:tcPr>
            <w:tcW w:type="dxa" w:w="8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HH-002</w:t>
            </w:r>
          </w:p>
        </w:tc>
        <w:tc>
          <w:tcPr>
            <w:tcW w:type="dxa" w:w="54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Support a preferred participant per booking without making dependants directly contactable.</w:t>
            </w:r>
          </w:p>
        </w:tc>
        <w:tc>
          <w:tcPr>
            <w:tcW w:type="dxa" w:w="30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Booking attribution shows participant and adult owner correctly.</w:t>
            </w:r>
          </w:p>
        </w:tc>
      </w:tr>
      <w:tr>
        <w:tc>
          <w:tcPr>
            <w:tcW w:type="dxa" w:w="850"/>
            <w:vAlign w:val="top"/>
            <w:tcMar>
              <w:top w:w="90" w:type="dxa"/>
              <w:start w:w="120" w:type="dxa"/>
              <w:bottom w:w="90" w:type="dxa"/>
              <w:end w:w="120" w:type="dxa"/>
            </w:tcMar>
          </w:tcPr>
          <w:p>
            <w:pPr>
              <w:spacing w:after="0" w:line="250" w:lineRule="auto"/>
            </w:pPr>
            <w:r/>
            <w:r>
              <w:rPr>
                <w:rFonts w:ascii="Aptos" w:hAnsi="Aptos"/>
                <w:b w:val="0"/>
                <w:color w:val="1D2433"/>
                <w:sz w:val="15"/>
              </w:rPr>
              <w:t>HH-003</w:t>
            </w:r>
          </w:p>
        </w:tc>
        <w:tc>
          <w:tcPr>
            <w:tcW w:type="dxa" w:w="5450"/>
            <w:vAlign w:val="top"/>
            <w:tcMar>
              <w:top w:w="90" w:type="dxa"/>
              <w:start w:w="120" w:type="dxa"/>
              <w:bottom w:w="90" w:type="dxa"/>
              <w:end w:w="120" w:type="dxa"/>
            </w:tcMar>
          </w:tcPr>
          <w:p>
            <w:pPr>
              <w:spacing w:after="0" w:line="250" w:lineRule="auto"/>
            </w:pPr>
            <w:r/>
            <w:r>
              <w:rPr>
                <w:rFonts w:ascii="Aptos" w:hAnsi="Aptos"/>
                <w:b w:val="0"/>
                <w:color w:val="1D2433"/>
                <w:sz w:val="15"/>
              </w:rPr>
              <w:t>Allow adults to hide a dependant from routine staff views; disclose only transaction-required details.</w:t>
            </w:r>
          </w:p>
        </w:tc>
        <w:tc>
          <w:tcPr>
            <w:tcW w:type="dxa" w:w="3060"/>
            <w:vAlign w:val="top"/>
            <w:tcMar>
              <w:top w:w="90" w:type="dxa"/>
              <w:start w:w="120" w:type="dxa"/>
              <w:bottom w:w="90" w:type="dxa"/>
              <w:end w:w="120" w:type="dxa"/>
            </w:tcMar>
          </w:tcPr>
          <w:p>
            <w:pPr>
              <w:spacing w:after="0" w:line="250" w:lineRule="auto"/>
            </w:pPr>
            <w:r/>
            <w:r>
              <w:rPr>
                <w:rFonts w:ascii="Aptos" w:hAnsi="Aptos"/>
                <w:b w:val="0"/>
                <w:color w:val="1D2433"/>
                <w:sz w:val="15"/>
              </w:rPr>
              <w:t>Front desk views comply with data-minimisation snapshots.</w:t>
            </w:r>
          </w:p>
        </w:tc>
      </w:tr>
      <w:tr>
        <w:tc>
          <w:tcPr>
            <w:tcW w:type="dxa" w:w="8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HH-004</w:t>
            </w:r>
          </w:p>
        </w:tc>
        <w:tc>
          <w:tcPr>
            <w:tcW w:type="dxa" w:w="54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Support merge, split and disputed-link workflows through support cases with evidence and rollback.</w:t>
            </w:r>
          </w:p>
        </w:tc>
        <w:tc>
          <w:tcPr>
            <w:tcW w:type="dxa" w:w="30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Case-based scenarios preserve ledger history and consent ownership.</w:t>
            </w:r>
          </w:p>
        </w:tc>
      </w:tr>
      <w:tr>
        <w:tc>
          <w:tcPr>
            <w:tcW w:type="dxa" w:w="850"/>
            <w:vAlign w:val="top"/>
            <w:tcMar>
              <w:top w:w="90" w:type="dxa"/>
              <w:start w:w="120" w:type="dxa"/>
              <w:bottom w:w="90" w:type="dxa"/>
              <w:end w:w="120" w:type="dxa"/>
            </w:tcMar>
          </w:tcPr>
          <w:p>
            <w:pPr>
              <w:spacing w:after="0" w:line="250" w:lineRule="auto"/>
            </w:pPr>
            <w:r/>
            <w:r>
              <w:rPr>
                <w:rFonts w:ascii="Aptos" w:hAnsi="Aptos"/>
                <w:b w:val="0"/>
                <w:color w:val="1D2433"/>
                <w:sz w:val="15"/>
              </w:rPr>
              <w:t>HH-005</w:t>
            </w:r>
          </w:p>
        </w:tc>
        <w:tc>
          <w:tcPr>
            <w:tcW w:type="dxa" w:w="5450"/>
            <w:vAlign w:val="top"/>
            <w:tcMar>
              <w:top w:w="90" w:type="dxa"/>
              <w:start w:w="120" w:type="dxa"/>
              <w:bottom w:w="90" w:type="dxa"/>
              <w:end w:w="120" w:type="dxa"/>
            </w:tcMar>
          </w:tcPr>
          <w:p>
            <w:pPr>
              <w:spacing w:after="0" w:line="250" w:lineRule="auto"/>
            </w:pPr>
            <w:r/>
            <w:r>
              <w:rPr>
                <w:rFonts w:ascii="Aptos" w:hAnsi="Aptos"/>
                <w:b w:val="0"/>
                <w:color w:val="1D2433"/>
                <w:sz w:val="15"/>
              </w:rPr>
              <w:t>Allow household-level or person-level benefits as defined by each rule.</w:t>
            </w:r>
          </w:p>
        </w:tc>
        <w:tc>
          <w:tcPr>
            <w:tcW w:type="dxa" w:w="3060"/>
            <w:vAlign w:val="top"/>
            <w:tcMar>
              <w:top w:w="90" w:type="dxa"/>
              <w:start w:w="120" w:type="dxa"/>
              <w:bottom w:w="90" w:type="dxa"/>
              <w:end w:w="120" w:type="dxa"/>
            </w:tcMar>
          </w:tcPr>
          <w:p>
            <w:pPr>
              <w:spacing w:after="0" w:line="250" w:lineRule="auto"/>
            </w:pPr>
            <w:r/>
            <w:r>
              <w:rPr>
                <w:rFonts w:ascii="Aptos" w:hAnsi="Aptos"/>
                <w:b w:val="0"/>
                <w:color w:val="1D2433"/>
                <w:sz w:val="15"/>
              </w:rPr>
              <w:t>Concurrent attribution tests prevent double earning.</w:t>
            </w:r>
          </w:p>
        </w:tc>
      </w:tr>
    </w:tbl>
    <w:p>
      <w:pPr>
        <w:spacing w:after="20"/>
      </w:pPr>
    </w:p>
    <w:p>
      <w:pPr>
        <w:pStyle w:val="Heading2"/>
        <w:keepNext/>
      </w:pPr>
      <w:r>
        <w:t>7.3 Member card and wallet</w:t>
      </w:r>
    </w:p>
    <w:tbl>
      <w:tblPr>
        <w:tblStyle w:val="TableGrid"/>
        <w:tblW w:type="dxa" w:w="9360"/>
        <w:jc w:val="left"/>
        <w:tblLayout w:type="fixed"/>
        <w:tblLook w:firstColumn="1" w:firstRow="1" w:lastColumn="0" w:lastRow="0" w:noHBand="0" w:noVBand="1" w:val="04A0"/>
        <w:tblInd w:w="120" w:type="dxa"/>
      </w:tblPr>
      <w:tblGrid>
        <w:gridCol w:w="850"/>
        <w:gridCol w:w="5450"/>
        <w:gridCol w:w="3060"/>
      </w:tblGrid>
      <w:tr>
        <w:trPr>
          <w:tblHeader w:val="true"/>
        </w:trPr>
        <w:tc>
          <w:tcPr>
            <w:tcW w:type="dxa" w:w="850"/>
            <w:vAlign w:val="center"/>
            <w:shd w:fill="0B2545"/>
            <w:tcMar>
              <w:top w:w="90" w:type="dxa"/>
              <w:start w:w="120" w:type="dxa"/>
              <w:bottom w:w="90" w:type="dxa"/>
              <w:end w:w="120" w:type="dxa"/>
            </w:tcMar>
          </w:tcPr>
          <w:p>
            <w:pPr>
              <w:spacing w:after="0"/>
            </w:pPr>
            <w:r/>
            <w:r>
              <w:rPr>
                <w:rFonts w:ascii="Aptos" w:hAnsi="Aptos"/>
                <w:b/>
                <w:color w:val="FFFFFF"/>
                <w:sz w:val="15"/>
              </w:rPr>
              <w:t>ID</w:t>
            </w:r>
          </w:p>
        </w:tc>
        <w:tc>
          <w:tcPr>
            <w:tcW w:type="dxa" w:w="5450"/>
            <w:shd w:fill="0B2545"/>
            <w:tcMar>
              <w:top w:w="90" w:type="dxa"/>
              <w:start w:w="120" w:type="dxa"/>
              <w:bottom w:w="90" w:type="dxa"/>
              <w:end w:w="120" w:type="dxa"/>
            </w:tcMar>
          </w:tcPr>
          <w:p>
            <w:pPr>
              <w:spacing w:after="0"/>
            </w:pPr>
            <w:r/>
            <w:r>
              <w:rPr>
                <w:rFonts w:ascii="Aptos" w:hAnsi="Aptos"/>
                <w:b/>
                <w:color w:val="FFFFFF"/>
                <w:sz w:val="15"/>
              </w:rPr>
              <w:t>Production requirement</w:t>
            </w:r>
          </w:p>
        </w:tc>
        <w:tc>
          <w:tcPr>
            <w:tcW w:type="dxa" w:w="3060"/>
            <w:shd w:fill="0B2545"/>
            <w:tcMar>
              <w:top w:w="90" w:type="dxa"/>
              <w:start w:w="120" w:type="dxa"/>
              <w:bottom w:w="90" w:type="dxa"/>
              <w:end w:w="120" w:type="dxa"/>
            </w:tcMar>
          </w:tcPr>
          <w:p>
            <w:pPr>
              <w:spacing w:after="0"/>
            </w:pPr>
            <w:r/>
            <w:r>
              <w:rPr>
                <w:rFonts w:ascii="Aptos" w:hAnsi="Aptos"/>
                <w:b/>
                <w:color w:val="FFFFFF"/>
                <w:sz w:val="15"/>
              </w:rPr>
              <w:t>Acceptance evidence</w:t>
            </w:r>
          </w:p>
        </w:tc>
      </w:tr>
      <w:tr>
        <w:tc>
          <w:tcPr>
            <w:tcW w:type="dxa" w:w="850"/>
            <w:vAlign w:val="top"/>
            <w:tcMar>
              <w:top w:w="90" w:type="dxa"/>
              <w:start w:w="120" w:type="dxa"/>
              <w:bottom w:w="90" w:type="dxa"/>
              <w:end w:w="120" w:type="dxa"/>
            </w:tcMar>
          </w:tcPr>
          <w:p>
            <w:pPr>
              <w:spacing w:after="0" w:line="250" w:lineRule="auto"/>
            </w:pPr>
            <w:r/>
            <w:r>
              <w:rPr>
                <w:rFonts w:ascii="Aptos" w:hAnsi="Aptos"/>
                <w:b w:val="0"/>
                <w:color w:val="1D2433"/>
                <w:sz w:val="15"/>
              </w:rPr>
              <w:t>CARD-001</w:t>
            </w:r>
          </w:p>
        </w:tc>
        <w:tc>
          <w:tcPr>
            <w:tcW w:type="dxa" w:w="5450"/>
            <w:vAlign w:val="top"/>
            <w:tcMar>
              <w:top w:w="90" w:type="dxa"/>
              <w:start w:w="120" w:type="dxa"/>
              <w:bottom w:w="90" w:type="dxa"/>
              <w:end w:w="120" w:type="dxa"/>
            </w:tcMar>
          </w:tcPr>
          <w:p>
            <w:pPr>
              <w:spacing w:after="0" w:line="250" w:lineRule="auto"/>
            </w:pPr>
            <w:r/>
            <w:r>
              <w:rPr>
                <w:rFonts w:ascii="Aptos" w:hAnsi="Aptos"/>
                <w:b w:val="0"/>
                <w:color w:val="1D2433"/>
                <w:sz w:val="15"/>
              </w:rPr>
              <w:t>Display membership status, first name/household display name, tier, value summaries and rotating QR credential.</w:t>
            </w:r>
          </w:p>
        </w:tc>
        <w:tc>
          <w:tcPr>
            <w:tcW w:type="dxa" w:w="3060"/>
            <w:vAlign w:val="top"/>
            <w:tcMar>
              <w:top w:w="90" w:type="dxa"/>
              <w:start w:w="120" w:type="dxa"/>
              <w:bottom w:w="90" w:type="dxa"/>
              <w:end w:w="120" w:type="dxa"/>
            </w:tcMar>
          </w:tcPr>
          <w:p>
            <w:pPr>
              <w:spacing w:after="0" w:line="250" w:lineRule="auto"/>
            </w:pPr>
            <w:r/>
            <w:r>
              <w:rPr>
                <w:rFonts w:ascii="Aptos" w:hAnsi="Aptos"/>
                <w:b w:val="0"/>
                <w:color w:val="1D2433"/>
                <w:sz w:val="15"/>
              </w:rPr>
              <w:t>QR changes on schedule and old tokens expire within policy.</w:t>
            </w:r>
          </w:p>
        </w:tc>
      </w:tr>
      <w:tr>
        <w:tc>
          <w:tcPr>
            <w:tcW w:type="dxa" w:w="8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CARD-002</w:t>
            </w:r>
          </w:p>
        </w:tc>
        <w:tc>
          <w:tcPr>
            <w:tcW w:type="dxa" w:w="54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Issue Apple Wallet and Google Wallet passes with current balance/status and deep link to the PWA.</w:t>
            </w:r>
          </w:p>
        </w:tc>
        <w:tc>
          <w:tcPr>
            <w:tcW w:type="dxa" w:w="30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Sandbox and production pass lifecycle tests pass on supported devices.</w:t>
            </w:r>
          </w:p>
        </w:tc>
      </w:tr>
      <w:tr>
        <w:tc>
          <w:tcPr>
            <w:tcW w:type="dxa" w:w="850"/>
            <w:vAlign w:val="top"/>
            <w:tcMar>
              <w:top w:w="90" w:type="dxa"/>
              <w:start w:w="120" w:type="dxa"/>
              <w:bottom w:w="90" w:type="dxa"/>
              <w:end w:w="120" w:type="dxa"/>
            </w:tcMar>
          </w:tcPr>
          <w:p>
            <w:pPr>
              <w:spacing w:after="0" w:line="250" w:lineRule="auto"/>
            </w:pPr>
            <w:r/>
            <w:r>
              <w:rPr>
                <w:rFonts w:ascii="Aptos" w:hAnsi="Aptos"/>
                <w:b w:val="0"/>
                <w:color w:val="1D2433"/>
                <w:sz w:val="15"/>
              </w:rPr>
              <w:t>CARD-003</w:t>
            </w:r>
          </w:p>
        </w:tc>
        <w:tc>
          <w:tcPr>
            <w:tcW w:type="dxa" w:w="5450"/>
            <w:vAlign w:val="top"/>
            <w:tcMar>
              <w:top w:w="90" w:type="dxa"/>
              <w:start w:w="120" w:type="dxa"/>
              <w:bottom w:w="90" w:type="dxa"/>
              <w:end w:w="120" w:type="dxa"/>
            </w:tcMar>
          </w:tcPr>
          <w:p>
            <w:pPr>
              <w:spacing w:after="0" w:line="250" w:lineRule="auto"/>
            </w:pPr>
            <w:r/>
            <w:r>
              <w:rPr>
                <w:rFonts w:ascii="Aptos" w:hAnsi="Aptos"/>
                <w:b w:val="0"/>
                <w:color w:val="1D2433"/>
                <w:sz w:val="15"/>
              </w:rPr>
              <w:t>Permit card revocation and reissue without changing the customer or ledger identity.</w:t>
            </w:r>
          </w:p>
        </w:tc>
        <w:tc>
          <w:tcPr>
            <w:tcW w:type="dxa" w:w="3060"/>
            <w:vAlign w:val="top"/>
            <w:tcMar>
              <w:top w:w="90" w:type="dxa"/>
              <w:start w:w="120" w:type="dxa"/>
              <w:bottom w:w="90" w:type="dxa"/>
              <w:end w:w="120" w:type="dxa"/>
            </w:tcMar>
          </w:tcPr>
          <w:p>
            <w:pPr>
              <w:spacing w:after="0" w:line="250" w:lineRule="auto"/>
            </w:pPr>
            <w:r/>
            <w:r>
              <w:rPr>
                <w:rFonts w:ascii="Aptos" w:hAnsi="Aptos"/>
                <w:b w:val="0"/>
                <w:color w:val="1D2433"/>
                <w:sz w:val="15"/>
              </w:rPr>
              <w:t>Lost-device test invalidates prior credential immediately.</w:t>
            </w:r>
          </w:p>
        </w:tc>
      </w:tr>
      <w:tr>
        <w:tc>
          <w:tcPr>
            <w:tcW w:type="dxa" w:w="8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CARD-004</w:t>
            </w:r>
          </w:p>
        </w:tc>
        <w:tc>
          <w:tcPr>
            <w:tcW w:type="dxa" w:w="54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Ensure screenshots or copied QR images cannot support durable replay.</w:t>
            </w:r>
          </w:p>
        </w:tc>
        <w:tc>
          <w:tcPr>
            <w:tcW w:type="dxa" w:w="30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Replay, clock-skew and concurrent redemption security tests pass.</w:t>
            </w:r>
          </w:p>
        </w:tc>
      </w:tr>
      <w:tr>
        <w:tc>
          <w:tcPr>
            <w:tcW w:type="dxa" w:w="850"/>
            <w:vAlign w:val="top"/>
            <w:tcMar>
              <w:top w:w="90" w:type="dxa"/>
              <w:start w:w="120" w:type="dxa"/>
              <w:bottom w:w="90" w:type="dxa"/>
              <w:end w:w="120" w:type="dxa"/>
            </w:tcMar>
          </w:tcPr>
          <w:p>
            <w:pPr>
              <w:spacing w:after="0" w:line="250" w:lineRule="auto"/>
            </w:pPr>
            <w:r/>
            <w:r>
              <w:rPr>
                <w:rFonts w:ascii="Aptos" w:hAnsi="Aptos"/>
                <w:b w:val="0"/>
                <w:color w:val="1D2433"/>
                <w:sz w:val="15"/>
              </w:rPr>
              <w:t>CARD-005</w:t>
            </w:r>
          </w:p>
        </w:tc>
        <w:tc>
          <w:tcPr>
            <w:tcW w:type="dxa" w:w="5450"/>
            <w:vAlign w:val="top"/>
            <w:tcMar>
              <w:top w:w="90" w:type="dxa"/>
              <w:start w:w="120" w:type="dxa"/>
              <w:bottom w:w="90" w:type="dxa"/>
              <w:end w:w="120" w:type="dxa"/>
            </w:tcMar>
          </w:tcPr>
          <w:p>
            <w:pPr>
              <w:spacing w:after="0" w:line="250" w:lineRule="auto"/>
            </w:pPr>
            <w:r/>
            <w:r>
              <w:rPr>
                <w:rFonts w:ascii="Aptos" w:hAnsi="Aptos"/>
                <w:b w:val="0"/>
                <w:color w:val="1D2433"/>
                <w:sz w:val="15"/>
              </w:rPr>
              <w:t>Provide accessible non-QR lookup/recovery for customers whose device is unavailable.</w:t>
            </w:r>
          </w:p>
        </w:tc>
        <w:tc>
          <w:tcPr>
            <w:tcW w:type="dxa" w:w="3060"/>
            <w:vAlign w:val="top"/>
            <w:tcMar>
              <w:top w:w="90" w:type="dxa"/>
              <w:start w:w="120" w:type="dxa"/>
              <w:bottom w:w="90" w:type="dxa"/>
              <w:end w:w="120" w:type="dxa"/>
            </w:tcMar>
          </w:tcPr>
          <w:p>
            <w:pPr>
              <w:spacing w:after="0" w:line="250" w:lineRule="auto"/>
            </w:pPr>
            <w:r/>
            <w:r>
              <w:rPr>
                <w:rFonts w:ascii="Aptos" w:hAnsi="Aptos"/>
                <w:b w:val="0"/>
                <w:color w:val="1D2433"/>
                <w:sz w:val="15"/>
              </w:rPr>
              <w:t>Staff flow uses verified attributes and records purpose.</w:t>
            </w:r>
          </w:p>
        </w:tc>
      </w:tr>
    </w:tbl>
    <w:p>
      <w:pPr>
        <w:spacing w:after="20"/>
      </w:pPr>
    </w:p>
    <w:p>
      <w:pPr>
        <w:pStyle w:val="Heading2"/>
        <w:keepNext/>
      </w:pPr>
      <w:r>
        <w:t>7.4 Customer home and activity history</w:t>
      </w:r>
    </w:p>
    <w:p>
      <w:pPr>
        <w:pStyle w:val="ListBullet"/>
      </w:pPr>
      <w:r>
        <w:rPr>
          <w:rFonts w:ascii="Aptos" w:hAnsi="Aptos"/>
          <w:b w:val="0"/>
          <w:color w:val="1D2433"/>
          <w:sz w:val="19"/>
        </w:rPr>
        <w:t>Current tier, progress and qualification period.</w:t>
      </w:r>
    </w:p>
    <w:p>
      <w:pPr>
        <w:pStyle w:val="ListBullet"/>
      </w:pPr>
      <w:r>
        <w:rPr>
          <w:rFonts w:ascii="Aptos" w:hAnsi="Aptos"/>
          <w:b w:val="0"/>
          <w:color w:val="1D2433"/>
          <w:sz w:val="19"/>
        </w:rPr>
        <w:t>Points, stamps/visits and other value types shown separately with plain-language labels.</w:t>
      </w:r>
    </w:p>
    <w:p>
      <w:pPr>
        <w:pStyle w:val="ListBullet"/>
      </w:pPr>
      <w:r>
        <w:rPr>
          <w:rFonts w:ascii="Aptos" w:hAnsi="Aptos"/>
          <w:b w:val="0"/>
          <w:color w:val="1D2433"/>
          <w:sz w:val="19"/>
        </w:rPr>
        <w:t>Upcoming expiries and applicable expiry rules.</w:t>
      </w:r>
    </w:p>
    <w:p>
      <w:pPr>
        <w:pStyle w:val="ListBullet"/>
      </w:pPr>
      <w:r>
        <w:rPr>
          <w:rFonts w:ascii="Aptos" w:hAnsi="Aptos"/>
          <w:b w:val="0"/>
          <w:color w:val="1D2433"/>
          <w:sz w:val="19"/>
        </w:rPr>
        <w:t>Available, reserved, redeemed, expired and reversed rewards.</w:t>
      </w:r>
    </w:p>
    <w:p>
      <w:pPr>
        <w:pStyle w:val="ListBullet"/>
      </w:pPr>
      <w:r>
        <w:rPr>
          <w:rFonts w:ascii="Aptos" w:hAnsi="Aptos"/>
          <w:b w:val="0"/>
          <w:color w:val="1D2433"/>
          <w:sz w:val="19"/>
        </w:rPr>
        <w:t>Active memberships, passes, remaining uses, renewal date and cancellation controls.</w:t>
      </w:r>
    </w:p>
    <w:p>
      <w:pPr>
        <w:pStyle w:val="ListBullet"/>
      </w:pPr>
      <w:r>
        <w:rPr>
          <w:rFonts w:ascii="Aptos" w:hAnsi="Aptos"/>
          <w:b w:val="0"/>
          <w:color w:val="1D2433"/>
          <w:sz w:val="19"/>
        </w:rPr>
        <w:t>Gift cards/vouchers owned or received, with masked instrument identifiers.</w:t>
      </w:r>
    </w:p>
    <w:p>
      <w:pPr>
        <w:pStyle w:val="ListBullet"/>
      </w:pPr>
      <w:r>
        <w:rPr>
          <w:rFonts w:ascii="Aptos" w:hAnsi="Aptos"/>
          <w:b w:val="0"/>
          <w:color w:val="1D2433"/>
          <w:sz w:val="19"/>
        </w:rPr>
        <w:t>Recent visits, bookings and qualifying purchases with park and date.</w:t>
      </w:r>
    </w:p>
    <w:p>
      <w:pPr>
        <w:pStyle w:val="ListBullet"/>
      </w:pPr>
      <w:r>
        <w:rPr>
          <w:rFonts w:ascii="Aptos" w:hAnsi="Aptos"/>
          <w:b w:val="0"/>
          <w:color w:val="1D2433"/>
          <w:sz w:val="19"/>
        </w:rPr>
        <w:t>A human-readable explanation for each balance change and reward decision.</w:t>
      </w:r>
    </w:p>
    <w:p>
      <w:pPr>
        <w:pStyle w:val="ListBullet"/>
      </w:pPr>
      <w:r>
        <w:rPr>
          <w:rFonts w:ascii="Aptos" w:hAnsi="Aptos"/>
          <w:b w:val="0"/>
          <w:color w:val="1D2433"/>
          <w:sz w:val="19"/>
        </w:rPr>
        <w:t>Privacy, consent, communication, export and account-management controls.</w:t>
      </w:r>
    </w:p>
    <w:p>
      <w:pPr>
        <w:pStyle w:val="Heading1"/>
        <w:keepNext/>
      </w:pPr>
      <w:r>
        <w:t>8. Loyalty, value and reward engine</w:t>
      </w:r>
    </w:p>
    <w:p>
      <w:pPr>
        <w:pStyle w:val="Heading2"/>
        <w:keepNext/>
      </w:pPr>
      <w:r>
        <w:t>8.1 Value types</w:t>
      </w:r>
    </w:p>
    <w:tbl>
      <w:tblPr>
        <w:tblStyle w:val="TableGrid"/>
        <w:tblW w:type="dxa" w:w="9360"/>
        <w:jc w:val="left"/>
        <w:tblLayout w:type="fixed"/>
        <w:tblLook w:firstColumn="1" w:firstRow="1" w:lastColumn="0" w:lastRow="0" w:noHBand="0" w:noVBand="1" w:val="04A0"/>
        <w:tblInd w:w="120" w:type="dxa"/>
      </w:tblPr>
      <w:tblGrid>
        <w:gridCol w:w="1800"/>
        <w:gridCol w:w="4010"/>
        <w:gridCol w:w="3550"/>
      </w:tblGrid>
      <w:tr>
        <w:trPr>
          <w:tblHeader w:val="true"/>
        </w:trPr>
        <w:tc>
          <w:tcPr>
            <w:tcW w:type="dxa" w:w="1800"/>
            <w:vAlign w:val="center"/>
            <w:shd w:fill="0B2545"/>
            <w:tcMar>
              <w:top w:w="90" w:type="dxa"/>
              <w:start w:w="120" w:type="dxa"/>
              <w:bottom w:w="90" w:type="dxa"/>
              <w:end w:w="120" w:type="dxa"/>
            </w:tcMar>
          </w:tcPr>
          <w:p>
            <w:pPr>
              <w:spacing w:after="0"/>
            </w:pPr>
            <w:r/>
            <w:r>
              <w:rPr>
                <w:rFonts w:ascii="Aptos" w:hAnsi="Aptos"/>
                <w:b/>
                <w:color w:val="FFFFFF"/>
                <w:sz w:val="14"/>
              </w:rPr>
              <w:t>Value type</w:t>
            </w:r>
          </w:p>
        </w:tc>
        <w:tc>
          <w:tcPr>
            <w:tcW w:type="dxa" w:w="4010"/>
            <w:shd w:fill="0B2545"/>
            <w:tcMar>
              <w:top w:w="90" w:type="dxa"/>
              <w:start w:w="120" w:type="dxa"/>
              <w:bottom w:w="90" w:type="dxa"/>
              <w:end w:w="120" w:type="dxa"/>
            </w:tcMar>
          </w:tcPr>
          <w:p>
            <w:pPr>
              <w:spacing w:after="0"/>
            </w:pPr>
            <w:r/>
            <w:r>
              <w:rPr>
                <w:rFonts w:ascii="Aptos" w:hAnsi="Aptos"/>
                <w:b/>
                <w:color w:val="FFFFFF"/>
                <w:sz w:val="14"/>
              </w:rPr>
              <w:t>Semantics</w:t>
            </w:r>
          </w:p>
        </w:tc>
        <w:tc>
          <w:tcPr>
            <w:tcW w:type="dxa" w:w="3550"/>
            <w:shd w:fill="0B2545"/>
            <w:tcMar>
              <w:top w:w="90" w:type="dxa"/>
              <w:start w:w="120" w:type="dxa"/>
              <w:bottom w:w="90" w:type="dxa"/>
              <w:end w:w="120" w:type="dxa"/>
            </w:tcMar>
          </w:tcPr>
          <w:p>
            <w:pPr>
              <w:spacing w:after="0"/>
            </w:pPr>
            <w:r/>
            <w:r>
              <w:rPr>
                <w:rFonts w:ascii="Aptos" w:hAnsi="Aptos"/>
                <w:b/>
                <w:color w:val="FFFFFF"/>
                <w:sz w:val="14"/>
              </w:rPr>
              <w:t>Accounting/control</w:t>
            </w:r>
          </w:p>
        </w:tc>
      </w:tr>
      <w:tr>
        <w:tc>
          <w:tcPr>
            <w:tcW w:type="dxa" w:w="1800"/>
            <w:vAlign w:val="top"/>
            <w:tcMar>
              <w:top w:w="90" w:type="dxa"/>
              <w:start w:w="120" w:type="dxa"/>
              <w:bottom w:w="90" w:type="dxa"/>
              <w:end w:w="120" w:type="dxa"/>
            </w:tcMar>
          </w:tcPr>
          <w:p>
            <w:pPr>
              <w:spacing w:after="0" w:line="250" w:lineRule="auto"/>
            </w:pPr>
            <w:r/>
            <w:r>
              <w:rPr>
                <w:rFonts w:ascii="Aptos" w:hAnsi="Aptos"/>
                <w:b w:val="0"/>
                <w:color w:val="1D2433"/>
                <w:sz w:val="14"/>
              </w:rPr>
              <w:t>Points</w:t>
            </w:r>
          </w:p>
        </w:tc>
        <w:tc>
          <w:tcPr>
            <w:tcW w:type="dxa" w:w="4010"/>
            <w:vAlign w:val="top"/>
            <w:tcMar>
              <w:top w:w="90" w:type="dxa"/>
              <w:start w:w="120" w:type="dxa"/>
              <w:bottom w:w="90" w:type="dxa"/>
              <w:end w:w="120" w:type="dxa"/>
            </w:tcMar>
          </w:tcPr>
          <w:p>
            <w:pPr>
              <w:spacing w:after="0" w:line="250" w:lineRule="auto"/>
            </w:pPr>
            <w:r/>
            <w:r>
              <w:rPr>
                <w:rFonts w:ascii="Aptos" w:hAnsi="Aptos"/>
                <w:b w:val="0"/>
                <w:color w:val="1D2433"/>
                <w:sz w:val="14"/>
              </w:rPr>
              <w:t>Non-cash loyalty units earned under rules and spent on defined rewards.</w:t>
            </w:r>
          </w:p>
        </w:tc>
        <w:tc>
          <w:tcPr>
            <w:tcW w:type="dxa" w:w="3550"/>
            <w:vAlign w:val="top"/>
            <w:tcMar>
              <w:top w:w="90" w:type="dxa"/>
              <w:start w:w="120" w:type="dxa"/>
              <w:bottom w:w="90" w:type="dxa"/>
              <w:end w:w="120" w:type="dxa"/>
            </w:tcMar>
          </w:tcPr>
          <w:p>
            <w:pPr>
              <w:spacing w:after="0" w:line="250" w:lineRule="auto"/>
            </w:pPr>
            <w:r/>
            <w:r>
              <w:rPr>
                <w:rFonts w:ascii="Aptos" w:hAnsi="Aptos"/>
                <w:b w:val="0"/>
                <w:color w:val="1D2433"/>
                <w:sz w:val="14"/>
              </w:rPr>
              <w:t>Separate liability estimate; never represented as legal tender.</w:t>
            </w:r>
          </w:p>
        </w:tc>
      </w:tr>
      <w:tr>
        <w:tc>
          <w:tcPr>
            <w:tcW w:type="dxa" w:w="1800"/>
            <w:vAlign w:val="top"/>
            <w:shd w:fill="F6F8FB"/>
            <w:tcMar>
              <w:top w:w="90" w:type="dxa"/>
              <w:start w:w="120" w:type="dxa"/>
              <w:bottom w:w="90" w:type="dxa"/>
              <w:end w:w="120" w:type="dxa"/>
            </w:tcMar>
          </w:tcPr>
          <w:p>
            <w:pPr>
              <w:spacing w:after="0" w:line="250" w:lineRule="auto"/>
            </w:pPr>
            <w:r/>
            <w:r>
              <w:rPr>
                <w:rFonts w:ascii="Aptos" w:hAnsi="Aptos"/>
                <w:b w:val="0"/>
                <w:color w:val="1D2433"/>
                <w:sz w:val="14"/>
              </w:rPr>
              <w:t>Stamps/visits</w:t>
            </w:r>
          </w:p>
        </w:tc>
        <w:tc>
          <w:tcPr>
            <w:tcW w:type="dxa" w:w="4010"/>
            <w:vAlign w:val="top"/>
            <w:shd w:fill="F6F8FB"/>
            <w:tcMar>
              <w:top w:w="90" w:type="dxa"/>
              <w:start w:w="120" w:type="dxa"/>
              <w:bottom w:w="90" w:type="dxa"/>
              <w:end w:w="120" w:type="dxa"/>
            </w:tcMar>
          </w:tcPr>
          <w:p>
            <w:pPr>
              <w:spacing w:after="0" w:line="250" w:lineRule="auto"/>
            </w:pPr>
            <w:r/>
            <w:r>
              <w:rPr>
                <w:rFonts w:ascii="Aptos" w:hAnsi="Aptos"/>
                <w:b w:val="0"/>
                <w:color w:val="1D2433"/>
                <w:sz w:val="14"/>
              </w:rPr>
              <w:t>Qualified count toward a specific reward cycle.</w:t>
            </w:r>
          </w:p>
        </w:tc>
        <w:tc>
          <w:tcPr>
            <w:tcW w:type="dxa" w:w="3550"/>
            <w:vAlign w:val="top"/>
            <w:shd w:fill="F6F8FB"/>
            <w:tcMar>
              <w:top w:w="90" w:type="dxa"/>
              <w:start w:w="120" w:type="dxa"/>
              <w:bottom w:w="90" w:type="dxa"/>
              <w:end w:w="120" w:type="dxa"/>
            </w:tcMar>
          </w:tcPr>
          <w:p>
            <w:pPr>
              <w:spacing w:after="0" w:line="250" w:lineRule="auto"/>
            </w:pPr>
            <w:r/>
            <w:r>
              <w:rPr>
                <w:rFonts w:ascii="Aptos" w:hAnsi="Aptos"/>
                <w:b w:val="0"/>
                <w:color w:val="1D2433"/>
                <w:sz w:val="14"/>
              </w:rPr>
              <w:t>Promotion-specific; cycle closes or rolls over per rule.</w:t>
            </w:r>
          </w:p>
        </w:tc>
      </w:tr>
      <w:tr>
        <w:tc>
          <w:tcPr>
            <w:tcW w:type="dxa" w:w="1800"/>
            <w:vAlign w:val="top"/>
            <w:tcMar>
              <w:top w:w="90" w:type="dxa"/>
              <w:start w:w="120" w:type="dxa"/>
              <w:bottom w:w="90" w:type="dxa"/>
              <w:end w:w="120" w:type="dxa"/>
            </w:tcMar>
          </w:tcPr>
          <w:p>
            <w:pPr>
              <w:spacing w:after="0" w:line="250" w:lineRule="auto"/>
            </w:pPr>
            <w:r/>
            <w:r>
              <w:rPr>
                <w:rFonts w:ascii="Aptos" w:hAnsi="Aptos"/>
                <w:b w:val="0"/>
                <w:color w:val="1D2433"/>
                <w:sz w:val="14"/>
              </w:rPr>
              <w:t>Promotional credit</w:t>
            </w:r>
          </w:p>
        </w:tc>
        <w:tc>
          <w:tcPr>
            <w:tcW w:type="dxa" w:w="4010"/>
            <w:vAlign w:val="top"/>
            <w:tcMar>
              <w:top w:w="90" w:type="dxa"/>
              <w:start w:w="120" w:type="dxa"/>
              <w:bottom w:w="90" w:type="dxa"/>
              <w:end w:w="120" w:type="dxa"/>
            </w:tcMar>
          </w:tcPr>
          <w:p>
            <w:pPr>
              <w:spacing w:after="0" w:line="250" w:lineRule="auto"/>
            </w:pPr>
            <w:r/>
            <w:r>
              <w:rPr>
                <w:rFonts w:ascii="Aptos" w:hAnsi="Aptos"/>
                <w:b w:val="0"/>
                <w:color w:val="1D2433"/>
                <w:sz w:val="14"/>
              </w:rPr>
              <w:t>Limited-use commercial value subject to conditions.</w:t>
            </w:r>
          </w:p>
        </w:tc>
        <w:tc>
          <w:tcPr>
            <w:tcW w:type="dxa" w:w="3550"/>
            <w:vAlign w:val="top"/>
            <w:tcMar>
              <w:top w:w="90" w:type="dxa"/>
              <w:start w:w="120" w:type="dxa"/>
              <w:bottom w:w="90" w:type="dxa"/>
              <w:end w:w="120" w:type="dxa"/>
            </w:tcMar>
          </w:tcPr>
          <w:p>
            <w:pPr>
              <w:spacing w:after="0" w:line="250" w:lineRule="auto"/>
            </w:pPr>
            <w:r/>
            <w:r>
              <w:rPr>
                <w:rFonts w:ascii="Aptos" w:hAnsi="Aptos"/>
                <w:b w:val="0"/>
                <w:color w:val="1D2433"/>
                <w:sz w:val="14"/>
              </w:rPr>
              <w:t>Separate from gift money; expiry and tax treatment configured.</w:t>
            </w:r>
          </w:p>
        </w:tc>
      </w:tr>
      <w:tr>
        <w:tc>
          <w:tcPr>
            <w:tcW w:type="dxa" w:w="1800"/>
            <w:vAlign w:val="top"/>
            <w:shd w:fill="F6F8FB"/>
            <w:tcMar>
              <w:top w:w="90" w:type="dxa"/>
              <w:start w:w="120" w:type="dxa"/>
              <w:bottom w:w="90" w:type="dxa"/>
              <w:end w:w="120" w:type="dxa"/>
            </w:tcMar>
          </w:tcPr>
          <w:p>
            <w:pPr>
              <w:spacing w:after="0" w:line="250" w:lineRule="auto"/>
            </w:pPr>
            <w:r/>
            <w:r>
              <w:rPr>
                <w:rFonts w:ascii="Aptos" w:hAnsi="Aptos"/>
                <w:b w:val="0"/>
                <w:color w:val="1D2433"/>
                <w:sz w:val="14"/>
              </w:rPr>
              <w:t>Gift/stored value</w:t>
            </w:r>
          </w:p>
        </w:tc>
        <w:tc>
          <w:tcPr>
            <w:tcW w:type="dxa" w:w="4010"/>
            <w:vAlign w:val="top"/>
            <w:shd w:fill="F6F8FB"/>
            <w:tcMar>
              <w:top w:w="90" w:type="dxa"/>
              <w:start w:w="120" w:type="dxa"/>
              <w:bottom w:w="90" w:type="dxa"/>
              <w:end w:w="120" w:type="dxa"/>
            </w:tcMar>
          </w:tcPr>
          <w:p>
            <w:pPr>
              <w:spacing w:after="0" w:line="250" w:lineRule="auto"/>
            </w:pPr>
            <w:r/>
            <w:r>
              <w:rPr>
                <w:rFonts w:ascii="Aptos" w:hAnsi="Aptos"/>
                <w:b w:val="0"/>
                <w:color w:val="1D2433"/>
                <w:sz w:val="14"/>
              </w:rPr>
              <w:t>Purchased monetary value redeemable for eligible products.</w:t>
            </w:r>
          </w:p>
        </w:tc>
        <w:tc>
          <w:tcPr>
            <w:tcW w:type="dxa" w:w="3550"/>
            <w:vAlign w:val="top"/>
            <w:shd w:fill="F6F8FB"/>
            <w:tcMar>
              <w:top w:w="90" w:type="dxa"/>
              <w:start w:w="120" w:type="dxa"/>
              <w:bottom w:w="90" w:type="dxa"/>
              <w:end w:w="120" w:type="dxa"/>
            </w:tcMar>
          </w:tcPr>
          <w:p>
            <w:pPr>
              <w:spacing w:after="0" w:line="250" w:lineRule="auto"/>
            </w:pPr>
            <w:r/>
            <w:r>
              <w:rPr>
                <w:rFonts w:ascii="Aptos" w:hAnsi="Aptos"/>
                <w:b w:val="0"/>
                <w:color w:val="1D2433"/>
                <w:sz w:val="14"/>
              </w:rPr>
              <w:t>Monetary ledger, settlement, breakage and legal expiry policy.</w:t>
            </w:r>
          </w:p>
        </w:tc>
      </w:tr>
      <w:tr>
        <w:tc>
          <w:tcPr>
            <w:tcW w:type="dxa" w:w="1800"/>
            <w:vAlign w:val="top"/>
            <w:tcMar>
              <w:top w:w="90" w:type="dxa"/>
              <w:start w:w="120" w:type="dxa"/>
              <w:bottom w:w="90" w:type="dxa"/>
              <w:end w:w="120" w:type="dxa"/>
            </w:tcMar>
          </w:tcPr>
          <w:p>
            <w:pPr>
              <w:spacing w:after="0" w:line="250" w:lineRule="auto"/>
            </w:pPr>
            <w:r/>
            <w:r>
              <w:rPr>
                <w:rFonts w:ascii="Aptos" w:hAnsi="Aptos"/>
                <w:b w:val="0"/>
                <w:color w:val="1D2433"/>
                <w:sz w:val="14"/>
              </w:rPr>
              <w:t>Entitlement/use</w:t>
            </w:r>
          </w:p>
        </w:tc>
        <w:tc>
          <w:tcPr>
            <w:tcW w:type="dxa" w:w="4010"/>
            <w:vAlign w:val="top"/>
            <w:tcMar>
              <w:top w:w="90" w:type="dxa"/>
              <w:start w:w="120" w:type="dxa"/>
              <w:bottom w:w="90" w:type="dxa"/>
              <w:end w:w="120" w:type="dxa"/>
            </w:tcMar>
          </w:tcPr>
          <w:p>
            <w:pPr>
              <w:spacing w:after="0" w:line="250" w:lineRule="auto"/>
            </w:pPr>
            <w:r/>
            <w:r>
              <w:rPr>
                <w:rFonts w:ascii="Aptos" w:hAnsi="Aptos"/>
                <w:b w:val="0"/>
                <w:color w:val="1D2433"/>
                <w:sz w:val="14"/>
              </w:rPr>
              <w:t>Right to one or more admissions, activities or benefits.</w:t>
            </w:r>
          </w:p>
        </w:tc>
        <w:tc>
          <w:tcPr>
            <w:tcW w:type="dxa" w:w="3550"/>
            <w:vAlign w:val="top"/>
            <w:tcMar>
              <w:top w:w="90" w:type="dxa"/>
              <w:start w:w="120" w:type="dxa"/>
              <w:bottom w:w="90" w:type="dxa"/>
              <w:end w:w="120" w:type="dxa"/>
            </w:tcMar>
          </w:tcPr>
          <w:p>
            <w:pPr>
              <w:spacing w:after="0" w:line="250" w:lineRule="auto"/>
            </w:pPr>
            <w:r/>
            <w:r>
              <w:rPr>
                <w:rFonts w:ascii="Aptos" w:hAnsi="Aptos"/>
                <w:b w:val="0"/>
                <w:color w:val="1D2433"/>
                <w:sz w:val="14"/>
              </w:rPr>
              <w:t>Use counter backed by immutable consumption entries.</w:t>
            </w:r>
          </w:p>
        </w:tc>
      </w:tr>
      <w:tr>
        <w:tc>
          <w:tcPr>
            <w:tcW w:type="dxa" w:w="1800"/>
            <w:vAlign w:val="top"/>
            <w:shd w:fill="F6F8FB"/>
            <w:tcMar>
              <w:top w:w="90" w:type="dxa"/>
              <w:start w:w="120" w:type="dxa"/>
              <w:bottom w:w="90" w:type="dxa"/>
              <w:end w:w="120" w:type="dxa"/>
            </w:tcMar>
          </w:tcPr>
          <w:p>
            <w:pPr>
              <w:spacing w:after="0" w:line="250" w:lineRule="auto"/>
            </w:pPr>
            <w:r/>
            <w:r>
              <w:rPr>
                <w:rFonts w:ascii="Aptos" w:hAnsi="Aptos"/>
                <w:b w:val="0"/>
                <w:color w:val="1D2433"/>
                <w:sz w:val="14"/>
              </w:rPr>
              <w:t>Reward instance</w:t>
            </w:r>
          </w:p>
        </w:tc>
        <w:tc>
          <w:tcPr>
            <w:tcW w:type="dxa" w:w="4010"/>
            <w:vAlign w:val="top"/>
            <w:shd w:fill="F6F8FB"/>
            <w:tcMar>
              <w:top w:w="90" w:type="dxa"/>
              <w:start w:w="120" w:type="dxa"/>
              <w:bottom w:w="90" w:type="dxa"/>
              <w:end w:w="120" w:type="dxa"/>
            </w:tcMar>
          </w:tcPr>
          <w:p>
            <w:pPr>
              <w:spacing w:after="0" w:line="250" w:lineRule="auto"/>
            </w:pPr>
            <w:r/>
            <w:r>
              <w:rPr>
                <w:rFonts w:ascii="Aptos" w:hAnsi="Aptos"/>
                <w:b w:val="0"/>
                <w:color w:val="1D2433"/>
                <w:sz w:val="14"/>
              </w:rPr>
              <w:t>A granted benefit such as free activity, upgrade or F&amp;B item.</w:t>
            </w:r>
          </w:p>
        </w:tc>
        <w:tc>
          <w:tcPr>
            <w:tcW w:type="dxa" w:w="3550"/>
            <w:vAlign w:val="top"/>
            <w:shd w:fill="F6F8FB"/>
            <w:tcMar>
              <w:top w:w="90" w:type="dxa"/>
              <w:start w:w="120" w:type="dxa"/>
              <w:bottom w:w="90" w:type="dxa"/>
              <w:end w:w="120" w:type="dxa"/>
            </w:tcMar>
          </w:tcPr>
          <w:p>
            <w:pPr>
              <w:spacing w:after="0" w:line="250" w:lineRule="auto"/>
            </w:pPr>
            <w:r/>
            <w:r>
              <w:rPr>
                <w:rFonts w:ascii="Aptos" w:hAnsi="Aptos"/>
                <w:b w:val="0"/>
                <w:color w:val="1D2433"/>
                <w:sz w:val="14"/>
              </w:rPr>
              <w:t>Unique lifecycle; reservation and redemption controlled.</w:t>
            </w:r>
          </w:p>
        </w:tc>
      </w:tr>
    </w:tbl>
    <w:p>
      <w:pPr>
        <w:spacing w:after="20"/>
      </w:pPr>
    </w:p>
    <w:p>
      <w:pPr>
        <w:pStyle w:val="Heading2"/>
        <w:keepNext/>
      </w:pPr>
      <w:r>
        <w:t>8.2 Rules engine</w:t>
      </w:r>
    </w:p>
    <w:tbl>
      <w:tblPr>
        <w:tblStyle w:val="TableGrid"/>
        <w:tblW w:type="dxa" w:w="9360"/>
        <w:jc w:val="left"/>
        <w:tblLayout w:type="fixed"/>
        <w:tblLook w:firstColumn="1" w:firstRow="1" w:lastColumn="0" w:lastRow="0" w:noHBand="0" w:noVBand="1" w:val="04A0"/>
        <w:tblInd w:w="120" w:type="dxa"/>
      </w:tblPr>
      <w:tblGrid>
        <w:gridCol w:w="850"/>
        <w:gridCol w:w="5450"/>
        <w:gridCol w:w="3060"/>
      </w:tblGrid>
      <w:tr>
        <w:trPr>
          <w:tblHeader w:val="true"/>
        </w:trPr>
        <w:tc>
          <w:tcPr>
            <w:tcW w:type="dxa" w:w="850"/>
            <w:vAlign w:val="center"/>
            <w:shd w:fill="0B2545"/>
            <w:tcMar>
              <w:top w:w="90" w:type="dxa"/>
              <w:start w:w="120" w:type="dxa"/>
              <w:bottom w:w="90" w:type="dxa"/>
              <w:end w:w="120" w:type="dxa"/>
            </w:tcMar>
          </w:tcPr>
          <w:p>
            <w:pPr>
              <w:spacing w:after="0"/>
            </w:pPr>
            <w:r/>
            <w:r>
              <w:rPr>
                <w:rFonts w:ascii="Aptos" w:hAnsi="Aptos"/>
                <w:b/>
                <w:color w:val="FFFFFF"/>
                <w:sz w:val="15"/>
              </w:rPr>
              <w:t>ID</w:t>
            </w:r>
          </w:p>
        </w:tc>
        <w:tc>
          <w:tcPr>
            <w:tcW w:type="dxa" w:w="5450"/>
            <w:shd w:fill="0B2545"/>
            <w:tcMar>
              <w:top w:w="90" w:type="dxa"/>
              <w:start w:w="120" w:type="dxa"/>
              <w:bottom w:w="90" w:type="dxa"/>
              <w:end w:w="120" w:type="dxa"/>
            </w:tcMar>
          </w:tcPr>
          <w:p>
            <w:pPr>
              <w:spacing w:after="0"/>
            </w:pPr>
            <w:r/>
            <w:r>
              <w:rPr>
                <w:rFonts w:ascii="Aptos" w:hAnsi="Aptos"/>
                <w:b/>
                <w:color w:val="FFFFFF"/>
                <w:sz w:val="15"/>
              </w:rPr>
              <w:t>Production requirement</w:t>
            </w:r>
          </w:p>
        </w:tc>
        <w:tc>
          <w:tcPr>
            <w:tcW w:type="dxa" w:w="3060"/>
            <w:shd w:fill="0B2545"/>
            <w:tcMar>
              <w:top w:w="90" w:type="dxa"/>
              <w:start w:w="120" w:type="dxa"/>
              <w:bottom w:w="90" w:type="dxa"/>
              <w:end w:w="120" w:type="dxa"/>
            </w:tcMar>
          </w:tcPr>
          <w:p>
            <w:pPr>
              <w:spacing w:after="0"/>
            </w:pPr>
            <w:r/>
            <w:r>
              <w:rPr>
                <w:rFonts w:ascii="Aptos" w:hAnsi="Aptos"/>
                <w:b/>
                <w:color w:val="FFFFFF"/>
                <w:sz w:val="15"/>
              </w:rPr>
              <w:t>Acceptance evidence</w:t>
            </w:r>
          </w:p>
        </w:tc>
      </w:tr>
      <w:tr>
        <w:tc>
          <w:tcPr>
            <w:tcW w:type="dxa" w:w="850"/>
            <w:vAlign w:val="top"/>
            <w:tcMar>
              <w:top w:w="90" w:type="dxa"/>
              <w:start w:w="120" w:type="dxa"/>
              <w:bottom w:w="90" w:type="dxa"/>
              <w:end w:w="120" w:type="dxa"/>
            </w:tcMar>
          </w:tcPr>
          <w:p>
            <w:pPr>
              <w:spacing w:after="0" w:line="250" w:lineRule="auto"/>
            </w:pPr>
            <w:r/>
            <w:r>
              <w:rPr>
                <w:rFonts w:ascii="Aptos" w:hAnsi="Aptos"/>
                <w:b w:val="0"/>
                <w:color w:val="1D2433"/>
                <w:sz w:val="15"/>
              </w:rPr>
              <w:t>LOY-001</w:t>
            </w:r>
          </w:p>
        </w:tc>
        <w:tc>
          <w:tcPr>
            <w:tcW w:type="dxa" w:w="5450"/>
            <w:vAlign w:val="top"/>
            <w:tcMar>
              <w:top w:w="90" w:type="dxa"/>
              <w:start w:w="120" w:type="dxa"/>
              <w:bottom w:w="90" w:type="dxa"/>
              <w:end w:w="120" w:type="dxa"/>
            </w:tcMar>
          </w:tcPr>
          <w:p>
            <w:pPr>
              <w:spacing w:after="0" w:line="250" w:lineRule="auto"/>
            </w:pPr>
            <w:r/>
            <w:r>
              <w:rPr>
                <w:rFonts w:ascii="Aptos" w:hAnsi="Aptos"/>
                <w:b w:val="0"/>
                <w:color w:val="1D2433"/>
                <w:sz w:val="15"/>
              </w:rPr>
              <w:t>Evaluate earning and eligibility using immutable, effective-dated rule versions.</w:t>
            </w:r>
          </w:p>
        </w:tc>
        <w:tc>
          <w:tcPr>
            <w:tcW w:type="dxa" w:w="3060"/>
            <w:vAlign w:val="top"/>
            <w:tcMar>
              <w:top w:w="90" w:type="dxa"/>
              <w:start w:w="120" w:type="dxa"/>
              <w:bottom w:w="90" w:type="dxa"/>
              <w:end w:w="120" w:type="dxa"/>
            </w:tcMar>
          </w:tcPr>
          <w:p>
            <w:pPr>
              <w:spacing w:after="0" w:line="250" w:lineRule="auto"/>
            </w:pPr>
            <w:r/>
            <w:r>
              <w:rPr>
                <w:rFonts w:ascii="Aptos" w:hAnsi="Aptos"/>
                <w:b w:val="0"/>
                <w:color w:val="1D2433"/>
                <w:sz w:val="15"/>
              </w:rPr>
              <w:t>Historical replay reproduces original outcomes.</w:t>
            </w:r>
          </w:p>
        </w:tc>
      </w:tr>
      <w:tr>
        <w:tc>
          <w:tcPr>
            <w:tcW w:type="dxa" w:w="8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LOY-002</w:t>
            </w:r>
          </w:p>
        </w:tc>
        <w:tc>
          <w:tcPr>
            <w:tcW w:type="dxa" w:w="54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Support conditions on park, product, SKU, channel, transaction amount, participant, household, tier, date/time, capacity class, promotion, staff and source.</w:t>
            </w:r>
          </w:p>
        </w:tc>
        <w:tc>
          <w:tcPr>
            <w:tcW w:type="dxa" w:w="30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Combinatorial rule tests pass and explain matched/excluded conditions.</w:t>
            </w:r>
          </w:p>
        </w:tc>
      </w:tr>
      <w:tr>
        <w:tc>
          <w:tcPr>
            <w:tcW w:type="dxa" w:w="850"/>
            <w:vAlign w:val="top"/>
            <w:tcMar>
              <w:top w:w="90" w:type="dxa"/>
              <w:start w:w="120" w:type="dxa"/>
              <w:bottom w:w="90" w:type="dxa"/>
              <w:end w:w="120" w:type="dxa"/>
            </w:tcMar>
          </w:tcPr>
          <w:p>
            <w:pPr>
              <w:spacing w:after="0" w:line="250" w:lineRule="auto"/>
            </w:pPr>
            <w:r/>
            <w:r>
              <w:rPr>
                <w:rFonts w:ascii="Aptos" w:hAnsi="Aptos"/>
                <w:b w:val="0"/>
                <w:color w:val="1D2433"/>
                <w:sz w:val="15"/>
              </w:rPr>
              <w:t>LOY-003</w:t>
            </w:r>
          </w:p>
        </w:tc>
        <w:tc>
          <w:tcPr>
            <w:tcW w:type="dxa" w:w="5450"/>
            <w:vAlign w:val="top"/>
            <w:tcMar>
              <w:top w:w="90" w:type="dxa"/>
              <w:start w:w="120" w:type="dxa"/>
              <w:bottom w:w="90" w:type="dxa"/>
              <w:end w:w="120" w:type="dxa"/>
            </w:tcMar>
          </w:tcPr>
          <w:p>
            <w:pPr>
              <w:spacing w:after="0" w:line="250" w:lineRule="auto"/>
            </w:pPr>
            <w:r/>
            <w:r>
              <w:rPr>
                <w:rFonts w:ascii="Aptos" w:hAnsi="Aptos"/>
                <w:b w:val="0"/>
                <w:color w:val="1D2433"/>
                <w:sz w:val="15"/>
              </w:rPr>
              <w:t>Support fixed, percentage, multiplier, threshold, stamp, first-time, nth-visit, streak and mission mechanics.</w:t>
            </w:r>
          </w:p>
        </w:tc>
        <w:tc>
          <w:tcPr>
            <w:tcW w:type="dxa" w:w="3060"/>
            <w:vAlign w:val="top"/>
            <w:tcMar>
              <w:top w:w="90" w:type="dxa"/>
              <w:start w:w="120" w:type="dxa"/>
              <w:bottom w:w="90" w:type="dxa"/>
              <w:end w:w="120" w:type="dxa"/>
            </w:tcMar>
          </w:tcPr>
          <w:p>
            <w:pPr>
              <w:spacing w:after="0" w:line="250" w:lineRule="auto"/>
            </w:pPr>
            <w:r/>
            <w:r>
              <w:rPr>
                <w:rFonts w:ascii="Aptos" w:hAnsi="Aptos"/>
                <w:b w:val="0"/>
                <w:color w:val="1D2433"/>
                <w:sz w:val="15"/>
              </w:rPr>
              <w:t>Golden test catalogue covers every mechanic.</w:t>
            </w:r>
          </w:p>
        </w:tc>
      </w:tr>
      <w:tr>
        <w:tc>
          <w:tcPr>
            <w:tcW w:type="dxa" w:w="8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LOY-004</w:t>
            </w:r>
          </w:p>
        </w:tc>
        <w:tc>
          <w:tcPr>
            <w:tcW w:type="dxa" w:w="54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Support caps per event/day/week/month/campaign/household/person and global budget.</w:t>
            </w:r>
          </w:p>
        </w:tc>
        <w:tc>
          <w:tcPr>
            <w:tcW w:type="dxa" w:w="30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Concurrency tests prove caps cannot be exceeded.</w:t>
            </w:r>
          </w:p>
        </w:tc>
      </w:tr>
      <w:tr>
        <w:tc>
          <w:tcPr>
            <w:tcW w:type="dxa" w:w="850"/>
            <w:vAlign w:val="top"/>
            <w:tcMar>
              <w:top w:w="90" w:type="dxa"/>
              <w:start w:w="120" w:type="dxa"/>
              <w:bottom w:w="90" w:type="dxa"/>
              <w:end w:w="120" w:type="dxa"/>
            </w:tcMar>
          </w:tcPr>
          <w:p>
            <w:pPr>
              <w:spacing w:after="0" w:line="250" w:lineRule="auto"/>
            </w:pPr>
            <w:r/>
            <w:r>
              <w:rPr>
                <w:rFonts w:ascii="Aptos" w:hAnsi="Aptos"/>
                <w:b w:val="0"/>
                <w:color w:val="1D2433"/>
                <w:sz w:val="15"/>
              </w:rPr>
              <w:t>LOY-005</w:t>
            </w:r>
          </w:p>
        </w:tc>
        <w:tc>
          <w:tcPr>
            <w:tcW w:type="dxa" w:w="5450"/>
            <w:vAlign w:val="top"/>
            <w:tcMar>
              <w:top w:w="90" w:type="dxa"/>
              <w:start w:w="120" w:type="dxa"/>
              <w:bottom w:w="90" w:type="dxa"/>
              <w:end w:w="120" w:type="dxa"/>
            </w:tcMar>
          </w:tcPr>
          <w:p>
            <w:pPr>
              <w:spacing w:after="0" w:line="250" w:lineRule="auto"/>
            </w:pPr>
            <w:r/>
            <w:r>
              <w:rPr>
                <w:rFonts w:ascii="Aptos" w:hAnsi="Aptos"/>
                <w:b w:val="0"/>
                <w:color w:val="1D2433"/>
                <w:sz w:val="15"/>
              </w:rPr>
              <w:t>Support exclusion and stacking policies with deterministic precedence.</w:t>
            </w:r>
          </w:p>
        </w:tc>
        <w:tc>
          <w:tcPr>
            <w:tcW w:type="dxa" w:w="3060"/>
            <w:vAlign w:val="top"/>
            <w:tcMar>
              <w:top w:w="90" w:type="dxa"/>
              <w:start w:w="120" w:type="dxa"/>
              <w:bottom w:w="90" w:type="dxa"/>
              <w:end w:w="120" w:type="dxa"/>
            </w:tcMar>
          </w:tcPr>
          <w:p>
            <w:pPr>
              <w:spacing w:after="0" w:line="250" w:lineRule="auto"/>
            </w:pPr>
            <w:r/>
            <w:r>
              <w:rPr>
                <w:rFonts w:ascii="Aptos" w:hAnsi="Aptos"/>
                <w:b w:val="0"/>
                <w:color w:val="1D2433"/>
                <w:sz w:val="15"/>
              </w:rPr>
              <w:t>Conflicting rules produce one documented result.</w:t>
            </w:r>
          </w:p>
        </w:tc>
      </w:tr>
      <w:tr>
        <w:tc>
          <w:tcPr>
            <w:tcW w:type="dxa" w:w="8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LOY-006</w:t>
            </w:r>
          </w:p>
        </w:tc>
        <w:tc>
          <w:tcPr>
            <w:tcW w:type="dxa" w:w="54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Perform refunds, cancellations and chargebacks through compensating entries and reward revocation/recovery policies.</w:t>
            </w:r>
          </w:p>
        </w:tc>
        <w:tc>
          <w:tcPr>
            <w:tcW w:type="dxa" w:w="30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Full and partial reversal tests reconcile to source transaction.</w:t>
            </w:r>
          </w:p>
        </w:tc>
      </w:tr>
      <w:tr>
        <w:tc>
          <w:tcPr>
            <w:tcW w:type="dxa" w:w="850"/>
            <w:vAlign w:val="top"/>
            <w:tcMar>
              <w:top w:w="90" w:type="dxa"/>
              <w:start w:w="120" w:type="dxa"/>
              <w:bottom w:w="90" w:type="dxa"/>
              <w:end w:w="120" w:type="dxa"/>
            </w:tcMar>
          </w:tcPr>
          <w:p>
            <w:pPr>
              <w:spacing w:after="0" w:line="250" w:lineRule="auto"/>
            </w:pPr>
            <w:r/>
            <w:r>
              <w:rPr>
                <w:rFonts w:ascii="Aptos" w:hAnsi="Aptos"/>
                <w:b w:val="0"/>
                <w:color w:val="1D2433"/>
                <w:sz w:val="15"/>
              </w:rPr>
              <w:t>LOY-007</w:t>
            </w:r>
          </w:p>
        </w:tc>
        <w:tc>
          <w:tcPr>
            <w:tcW w:type="dxa" w:w="5450"/>
            <w:vAlign w:val="top"/>
            <w:tcMar>
              <w:top w:w="90" w:type="dxa"/>
              <w:start w:w="120" w:type="dxa"/>
              <w:bottom w:w="90" w:type="dxa"/>
              <w:end w:w="120" w:type="dxa"/>
            </w:tcMar>
          </w:tcPr>
          <w:p>
            <w:pPr>
              <w:spacing w:after="0" w:line="250" w:lineRule="auto"/>
            </w:pPr>
            <w:r/>
            <w:r>
              <w:rPr>
                <w:rFonts w:ascii="Aptos" w:hAnsi="Aptos"/>
                <w:b w:val="0"/>
                <w:color w:val="1D2433"/>
                <w:sz w:val="15"/>
              </w:rPr>
              <w:t>Provide dry-run simulation against historical data before activation.</w:t>
            </w:r>
          </w:p>
        </w:tc>
        <w:tc>
          <w:tcPr>
            <w:tcW w:type="dxa" w:w="3060"/>
            <w:vAlign w:val="top"/>
            <w:tcMar>
              <w:top w:w="90" w:type="dxa"/>
              <w:start w:w="120" w:type="dxa"/>
              <w:bottom w:w="90" w:type="dxa"/>
              <w:end w:w="120" w:type="dxa"/>
            </w:tcMar>
          </w:tcPr>
          <w:p>
            <w:pPr>
              <w:spacing w:after="0" w:line="250" w:lineRule="auto"/>
            </w:pPr>
            <w:r/>
            <w:r>
              <w:rPr>
                <w:rFonts w:ascii="Aptos" w:hAnsi="Aptos"/>
                <w:b w:val="0"/>
                <w:color w:val="1D2433"/>
                <w:sz w:val="15"/>
              </w:rPr>
              <w:t>Admin shows projected cost, audience and rule conflicts.</w:t>
            </w:r>
          </w:p>
        </w:tc>
      </w:tr>
      <w:tr>
        <w:tc>
          <w:tcPr>
            <w:tcW w:type="dxa" w:w="8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LOY-008</w:t>
            </w:r>
          </w:p>
        </w:tc>
        <w:tc>
          <w:tcPr>
            <w:tcW w:type="dxa" w:w="54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Require maker-checker approval for rules affecting monetary value, broad audiences or high budgets.</w:t>
            </w:r>
          </w:p>
        </w:tc>
        <w:tc>
          <w:tcPr>
            <w:tcW w:type="dxa" w:w="30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No self-approved activation in permission tests.</w:t>
            </w:r>
          </w:p>
        </w:tc>
      </w:tr>
    </w:tbl>
    <w:p>
      <w:pPr>
        <w:spacing w:after="20"/>
      </w:pPr>
    </w:p>
    <w:p>
      <w:pPr>
        <w:pStyle w:val="Heading2"/>
        <w:keepNext/>
      </w:pPr>
      <w:r>
        <w:t>8.3 Baseline Quantum Club loyalty policy</w:t>
      </w:r>
    </w:p>
    <w:p>
      <w:r>
        <w:rPr>
          <w:rFonts w:ascii="Aptos" w:hAnsi="Aptos"/>
          <w:b w:val="0"/>
          <w:i w:val="0"/>
          <w:color w:val="1D2433"/>
          <w:sz w:val="19"/>
        </w:rPr>
        <w:t>The platform must ship with a complete configurable baseline, while allowing Quantum Park to change economics without code deployment. Initial numeric values are configuration owned by Quantum Park and must be approved before production activation. The safe system default is that earning is disabled until an approved rule version is published; the code and user journeys are nevertheless complete.</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vAlign w:val="center"/>
            <w:shd w:fill="0B2545"/>
            <w:tcMar>
              <w:top w:w="90" w:type="dxa"/>
              <w:start w:w="120" w:type="dxa"/>
              <w:bottom w:w="90" w:type="dxa"/>
              <w:end w:w="120" w:type="dxa"/>
            </w:tcMar>
          </w:tcPr>
          <w:p>
            <w:pPr>
              <w:spacing w:after="0"/>
            </w:pPr>
            <w:r/>
            <w:r>
              <w:rPr>
                <w:rFonts w:ascii="Aptos" w:hAnsi="Aptos"/>
                <w:b/>
                <w:color w:val="FFFFFF"/>
                <w:sz w:val="15"/>
              </w:rPr>
              <w:t>Policy area</w:t>
            </w:r>
          </w:p>
        </w:tc>
        <w:tc>
          <w:tcPr>
            <w:tcW w:type="dxa" w:w="7160"/>
            <w:shd w:fill="0B2545"/>
            <w:tcMar>
              <w:top w:w="90" w:type="dxa"/>
              <w:start w:w="120" w:type="dxa"/>
              <w:bottom w:w="90" w:type="dxa"/>
              <w:end w:w="120" w:type="dxa"/>
            </w:tcMar>
          </w:tcPr>
          <w:p>
            <w:pPr>
              <w:spacing w:after="0"/>
            </w:pPr>
            <w:r/>
            <w:r>
              <w:rPr>
                <w:rFonts w:ascii="Aptos" w:hAnsi="Aptos"/>
                <w:b/>
                <w:color w:val="FFFFFF"/>
                <w:sz w:val="15"/>
              </w:rPr>
              <w:t>Production default behaviour</w:t>
            </w:r>
          </w:p>
        </w:tc>
      </w:tr>
      <w:tr>
        <w:tc>
          <w:tcPr>
            <w:tcW w:type="dxa" w:w="2200"/>
            <w:vAlign w:val="top"/>
            <w:tcMar>
              <w:top w:w="90" w:type="dxa"/>
              <w:start w:w="120" w:type="dxa"/>
              <w:bottom w:w="90" w:type="dxa"/>
              <w:end w:w="120" w:type="dxa"/>
            </w:tcMar>
          </w:tcPr>
          <w:p>
            <w:pPr>
              <w:spacing w:after="0" w:line="250" w:lineRule="auto"/>
            </w:pPr>
            <w:r/>
            <w:r>
              <w:rPr>
                <w:rFonts w:ascii="Aptos" w:hAnsi="Aptos"/>
                <w:b w:val="0"/>
                <w:color w:val="1D2433"/>
                <w:sz w:val="15"/>
              </w:rPr>
              <w:t>Eligible owner</w:t>
            </w:r>
          </w:p>
        </w:tc>
        <w:tc>
          <w:tcPr>
            <w:tcW w:type="dxa" w:w="7160"/>
            <w:vAlign w:val="top"/>
            <w:tcMar>
              <w:top w:w="90" w:type="dxa"/>
              <w:start w:w="120" w:type="dxa"/>
              <w:bottom w:w="90" w:type="dxa"/>
              <w:end w:w="120" w:type="dxa"/>
            </w:tcMar>
          </w:tcPr>
          <w:p>
            <w:pPr>
              <w:spacing w:after="0" w:line="250" w:lineRule="auto"/>
            </w:pPr>
            <w:r/>
            <w:r>
              <w:rPr>
                <w:rFonts w:ascii="Aptos" w:hAnsi="Aptos"/>
                <w:b w:val="0"/>
                <w:color w:val="1D2433"/>
                <w:sz w:val="15"/>
              </w:rPr>
              <w:t>Household earns once for a qualifying commercial event; participant-level missions may be separate but cannot double-credit base value.</w:t>
            </w:r>
          </w:p>
        </w:tc>
      </w:tr>
      <w:tr>
        <w:tc>
          <w:tcPr>
            <w:tcW w:type="dxa" w:w="22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Qualification</w:t>
            </w:r>
          </w:p>
        </w:tc>
        <w:tc>
          <w:tcPr>
            <w:tcW w:type="dxa" w:w="71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Completed/attended, paid and non-reversed events only; booking creation alone does not earn base points.</w:t>
            </w:r>
          </w:p>
        </w:tc>
      </w:tr>
      <w:tr>
        <w:tc>
          <w:tcPr>
            <w:tcW w:type="dxa" w:w="2200"/>
            <w:vAlign w:val="top"/>
            <w:tcMar>
              <w:top w:w="90" w:type="dxa"/>
              <w:start w:w="120" w:type="dxa"/>
              <w:bottom w:w="90" w:type="dxa"/>
              <w:end w:w="120" w:type="dxa"/>
            </w:tcMar>
          </w:tcPr>
          <w:p>
            <w:pPr>
              <w:spacing w:after="0" w:line="250" w:lineRule="auto"/>
            </w:pPr>
            <w:r/>
            <w:r>
              <w:rPr>
                <w:rFonts w:ascii="Aptos" w:hAnsi="Aptos"/>
                <w:b w:val="0"/>
                <w:color w:val="1D2433"/>
                <w:sz w:val="15"/>
              </w:rPr>
              <w:t>Points basis</w:t>
            </w:r>
          </w:p>
        </w:tc>
        <w:tc>
          <w:tcPr>
            <w:tcW w:type="dxa" w:w="7160"/>
            <w:vAlign w:val="top"/>
            <w:tcMar>
              <w:top w:w="90" w:type="dxa"/>
              <w:start w:w="120" w:type="dxa"/>
              <w:bottom w:w="90" w:type="dxa"/>
              <w:end w:w="120" w:type="dxa"/>
            </w:tcMar>
          </w:tcPr>
          <w:p>
            <w:pPr>
              <w:spacing w:after="0" w:line="250" w:lineRule="auto"/>
            </w:pPr>
            <w:r/>
            <w:r>
              <w:rPr>
                <w:rFonts w:ascii="Aptos" w:hAnsi="Aptos"/>
                <w:b w:val="0"/>
                <w:color w:val="1D2433"/>
                <w:sz w:val="15"/>
              </w:rPr>
              <w:t>Configurable points per euro of eligible net spend, excluding taxes/fees/items marked ineligible.</w:t>
            </w:r>
          </w:p>
        </w:tc>
      </w:tr>
      <w:tr>
        <w:tc>
          <w:tcPr>
            <w:tcW w:type="dxa" w:w="22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Visit stamp</w:t>
            </w:r>
          </w:p>
        </w:tc>
        <w:tc>
          <w:tcPr>
            <w:tcW w:type="dxa" w:w="71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Optional product-specific stamp on completed attendance, capped per household/day/product.</w:t>
            </w:r>
          </w:p>
        </w:tc>
      </w:tr>
      <w:tr>
        <w:tc>
          <w:tcPr>
            <w:tcW w:type="dxa" w:w="2200"/>
            <w:vAlign w:val="top"/>
            <w:tcMar>
              <w:top w:w="90" w:type="dxa"/>
              <w:start w:w="120" w:type="dxa"/>
              <w:bottom w:w="90" w:type="dxa"/>
              <w:end w:w="120" w:type="dxa"/>
            </w:tcMar>
          </w:tcPr>
          <w:p>
            <w:pPr>
              <w:spacing w:after="0" w:line="250" w:lineRule="auto"/>
            </w:pPr>
            <w:r/>
            <w:r>
              <w:rPr>
                <w:rFonts w:ascii="Aptos" w:hAnsi="Aptos"/>
                <w:b w:val="0"/>
                <w:color w:val="1D2433"/>
                <w:sz w:val="15"/>
              </w:rPr>
              <w:t>Parties and camps</w:t>
            </w:r>
          </w:p>
        </w:tc>
        <w:tc>
          <w:tcPr>
            <w:tcW w:type="dxa" w:w="7160"/>
            <w:vAlign w:val="top"/>
            <w:tcMar>
              <w:top w:w="90" w:type="dxa"/>
              <w:start w:w="120" w:type="dxa"/>
              <w:bottom w:w="90" w:type="dxa"/>
              <w:end w:w="120" w:type="dxa"/>
            </w:tcMar>
          </w:tcPr>
          <w:p>
            <w:pPr>
              <w:spacing w:after="0" w:line="250" w:lineRule="auto"/>
            </w:pPr>
            <w:r/>
            <w:r>
              <w:rPr>
                <w:rFonts w:ascii="Aptos" w:hAnsi="Aptos"/>
                <w:b w:val="0"/>
                <w:color w:val="1D2433"/>
                <w:sz w:val="15"/>
              </w:rPr>
              <w:t>Use dedicated high-value rules, lead-time journeys and reward/cap economics rather than ordinary visit multipliers.</w:t>
            </w:r>
          </w:p>
        </w:tc>
      </w:tr>
      <w:tr>
        <w:tc>
          <w:tcPr>
            <w:tcW w:type="dxa" w:w="22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F&amp;B</w:t>
            </w:r>
          </w:p>
        </w:tc>
        <w:tc>
          <w:tcPr>
            <w:tcW w:type="dxa" w:w="71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Eligible where a trusted POS transaction is linked; manual entry requires bounded staff authority.</w:t>
            </w:r>
          </w:p>
        </w:tc>
      </w:tr>
      <w:tr>
        <w:tc>
          <w:tcPr>
            <w:tcW w:type="dxa" w:w="2200"/>
            <w:vAlign w:val="top"/>
            <w:tcMar>
              <w:top w:w="90" w:type="dxa"/>
              <w:start w:w="120" w:type="dxa"/>
              <w:bottom w:w="90" w:type="dxa"/>
              <w:end w:w="120" w:type="dxa"/>
            </w:tcMar>
          </w:tcPr>
          <w:p>
            <w:pPr>
              <w:spacing w:after="0" w:line="250" w:lineRule="auto"/>
            </w:pPr>
            <w:r/>
            <w:r>
              <w:rPr>
                <w:rFonts w:ascii="Aptos" w:hAnsi="Aptos"/>
                <w:b w:val="0"/>
                <w:color w:val="1D2433"/>
                <w:sz w:val="15"/>
              </w:rPr>
              <w:t>Expiry</w:t>
            </w:r>
          </w:p>
        </w:tc>
        <w:tc>
          <w:tcPr>
            <w:tcW w:type="dxa" w:w="7160"/>
            <w:vAlign w:val="top"/>
            <w:tcMar>
              <w:top w:w="90" w:type="dxa"/>
              <w:start w:w="120" w:type="dxa"/>
              <w:bottom w:w="90" w:type="dxa"/>
              <w:end w:w="120" w:type="dxa"/>
            </w:tcMar>
          </w:tcPr>
          <w:p>
            <w:pPr>
              <w:spacing w:after="0" w:line="250" w:lineRule="auto"/>
            </w:pPr>
            <w:r/>
            <w:r>
              <w:rPr>
                <w:rFonts w:ascii="Aptos" w:hAnsi="Aptos"/>
                <w:b w:val="0"/>
                <w:color w:val="1D2433"/>
                <w:sz w:val="15"/>
              </w:rPr>
              <w:t>Configurable rolling or fixed expiry with advance notice; monetary gift value follows legal/contractual rules separately.</w:t>
            </w:r>
          </w:p>
        </w:tc>
      </w:tr>
      <w:tr>
        <w:tc>
          <w:tcPr>
            <w:tcW w:type="dxa" w:w="22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Returns/refunds</w:t>
            </w:r>
          </w:p>
        </w:tc>
        <w:tc>
          <w:tcPr>
            <w:tcW w:type="dxa" w:w="71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Reverse proportional earned value; if already spent, create recoverable negative loyalty balance subject to customer-fairness policy.</w:t>
            </w:r>
          </w:p>
        </w:tc>
      </w:tr>
      <w:tr>
        <w:tc>
          <w:tcPr>
            <w:tcW w:type="dxa" w:w="2200"/>
            <w:vAlign w:val="top"/>
            <w:tcMar>
              <w:top w:w="90" w:type="dxa"/>
              <w:start w:w="120" w:type="dxa"/>
              <w:bottom w:w="90" w:type="dxa"/>
              <w:end w:w="120" w:type="dxa"/>
            </w:tcMar>
          </w:tcPr>
          <w:p>
            <w:pPr>
              <w:spacing w:after="0" w:line="250" w:lineRule="auto"/>
            </w:pPr>
            <w:r/>
            <w:r>
              <w:rPr>
                <w:rFonts w:ascii="Aptos" w:hAnsi="Aptos"/>
                <w:b w:val="0"/>
                <w:color w:val="1D2433"/>
                <w:sz w:val="15"/>
              </w:rPr>
              <w:t>Rounding</w:t>
            </w:r>
          </w:p>
        </w:tc>
        <w:tc>
          <w:tcPr>
            <w:tcW w:type="dxa" w:w="7160"/>
            <w:vAlign w:val="top"/>
            <w:tcMar>
              <w:top w:w="90" w:type="dxa"/>
              <w:start w:w="120" w:type="dxa"/>
              <w:bottom w:w="90" w:type="dxa"/>
              <w:end w:w="120" w:type="dxa"/>
            </w:tcMar>
          </w:tcPr>
          <w:p>
            <w:pPr>
              <w:spacing w:after="0" w:line="250" w:lineRule="auto"/>
            </w:pPr>
            <w:r/>
            <w:r>
              <w:rPr>
                <w:rFonts w:ascii="Aptos" w:hAnsi="Aptos"/>
                <w:b w:val="0"/>
                <w:color w:val="1D2433"/>
                <w:sz w:val="15"/>
              </w:rPr>
              <w:t>Integer loyalty units using deterministic half-up/floor policy defined per rule; monetary calculations use minor units.</w:t>
            </w:r>
          </w:p>
        </w:tc>
      </w:tr>
    </w:tbl>
    <w:p>
      <w:pPr>
        <w:spacing w:after="20"/>
      </w:pPr>
    </w:p>
    <w:p>
      <w:pPr>
        <w:pStyle w:val="Heading2"/>
        <w:keepNext/>
      </w:pPr>
      <w:r>
        <w:t>8.4 Tiers, challenges and missions</w:t>
      </w:r>
    </w:p>
    <w:tbl>
      <w:tblPr>
        <w:tblStyle w:val="TableGrid"/>
        <w:tblW w:type="dxa" w:w="9360"/>
        <w:jc w:val="left"/>
        <w:tblLayout w:type="fixed"/>
        <w:tblLook w:firstColumn="1" w:firstRow="1" w:lastColumn="0" w:lastRow="0" w:noHBand="0" w:noVBand="1" w:val="04A0"/>
        <w:tblInd w:w="120" w:type="dxa"/>
      </w:tblPr>
      <w:tblGrid>
        <w:gridCol w:w="850"/>
        <w:gridCol w:w="5450"/>
        <w:gridCol w:w="3060"/>
      </w:tblGrid>
      <w:tr>
        <w:trPr>
          <w:tblHeader w:val="true"/>
        </w:trPr>
        <w:tc>
          <w:tcPr>
            <w:tcW w:type="dxa" w:w="850"/>
            <w:vAlign w:val="center"/>
            <w:shd w:fill="0B2545"/>
            <w:tcMar>
              <w:top w:w="90" w:type="dxa"/>
              <w:start w:w="120" w:type="dxa"/>
              <w:bottom w:w="90" w:type="dxa"/>
              <w:end w:w="120" w:type="dxa"/>
            </w:tcMar>
          </w:tcPr>
          <w:p>
            <w:pPr>
              <w:spacing w:after="0"/>
            </w:pPr>
            <w:r/>
            <w:r>
              <w:rPr>
                <w:rFonts w:ascii="Aptos" w:hAnsi="Aptos"/>
                <w:b/>
                <w:color w:val="FFFFFF"/>
                <w:sz w:val="15"/>
              </w:rPr>
              <w:t>ID</w:t>
            </w:r>
          </w:p>
        </w:tc>
        <w:tc>
          <w:tcPr>
            <w:tcW w:type="dxa" w:w="5450"/>
            <w:shd w:fill="0B2545"/>
            <w:tcMar>
              <w:top w:w="90" w:type="dxa"/>
              <w:start w:w="120" w:type="dxa"/>
              <w:bottom w:w="90" w:type="dxa"/>
              <w:end w:w="120" w:type="dxa"/>
            </w:tcMar>
          </w:tcPr>
          <w:p>
            <w:pPr>
              <w:spacing w:after="0"/>
            </w:pPr>
            <w:r/>
            <w:r>
              <w:rPr>
                <w:rFonts w:ascii="Aptos" w:hAnsi="Aptos"/>
                <w:b/>
                <w:color w:val="FFFFFF"/>
                <w:sz w:val="15"/>
              </w:rPr>
              <w:t>Production requirement</w:t>
            </w:r>
          </w:p>
        </w:tc>
        <w:tc>
          <w:tcPr>
            <w:tcW w:type="dxa" w:w="3060"/>
            <w:shd w:fill="0B2545"/>
            <w:tcMar>
              <w:top w:w="90" w:type="dxa"/>
              <w:start w:w="120" w:type="dxa"/>
              <w:bottom w:w="90" w:type="dxa"/>
              <w:end w:w="120" w:type="dxa"/>
            </w:tcMar>
          </w:tcPr>
          <w:p>
            <w:pPr>
              <w:spacing w:after="0"/>
            </w:pPr>
            <w:r/>
            <w:r>
              <w:rPr>
                <w:rFonts w:ascii="Aptos" w:hAnsi="Aptos"/>
                <w:b/>
                <w:color w:val="FFFFFF"/>
                <w:sz w:val="15"/>
              </w:rPr>
              <w:t>Acceptance evidence</w:t>
            </w:r>
          </w:p>
        </w:tc>
      </w:tr>
      <w:tr>
        <w:tc>
          <w:tcPr>
            <w:tcW w:type="dxa" w:w="850"/>
            <w:vAlign w:val="top"/>
            <w:tcMar>
              <w:top w:w="90" w:type="dxa"/>
              <w:start w:w="120" w:type="dxa"/>
              <w:bottom w:w="90" w:type="dxa"/>
              <w:end w:w="120" w:type="dxa"/>
            </w:tcMar>
          </w:tcPr>
          <w:p>
            <w:pPr>
              <w:spacing w:after="0" w:line="250" w:lineRule="auto"/>
            </w:pPr>
            <w:r/>
            <w:r>
              <w:rPr>
                <w:rFonts w:ascii="Aptos" w:hAnsi="Aptos"/>
                <w:b w:val="0"/>
                <w:color w:val="1D2433"/>
                <w:sz w:val="15"/>
              </w:rPr>
              <w:t>TIER-001</w:t>
            </w:r>
          </w:p>
        </w:tc>
        <w:tc>
          <w:tcPr>
            <w:tcW w:type="dxa" w:w="5450"/>
            <w:vAlign w:val="top"/>
            <w:tcMar>
              <w:top w:w="90" w:type="dxa"/>
              <w:start w:w="120" w:type="dxa"/>
              <w:bottom w:w="90" w:type="dxa"/>
              <w:end w:w="120" w:type="dxa"/>
            </w:tcMar>
          </w:tcPr>
          <w:p>
            <w:pPr>
              <w:spacing w:after="0" w:line="250" w:lineRule="auto"/>
            </w:pPr>
            <w:r/>
            <w:r>
              <w:rPr>
                <w:rFonts w:ascii="Aptos" w:hAnsi="Aptos"/>
                <w:b w:val="0"/>
                <w:color w:val="1D2433"/>
                <w:sz w:val="15"/>
              </w:rPr>
              <w:t>Support configurable tiers with qualification metrics, rolling/fixed periods, grace periods, downgrade and manual exception workflow.</w:t>
            </w:r>
          </w:p>
        </w:tc>
        <w:tc>
          <w:tcPr>
            <w:tcW w:type="dxa" w:w="3060"/>
            <w:vAlign w:val="top"/>
            <w:tcMar>
              <w:top w:w="90" w:type="dxa"/>
              <w:start w:w="120" w:type="dxa"/>
              <w:bottom w:w="90" w:type="dxa"/>
              <w:end w:w="120" w:type="dxa"/>
            </w:tcMar>
          </w:tcPr>
          <w:p>
            <w:pPr>
              <w:spacing w:after="0" w:line="250" w:lineRule="auto"/>
            </w:pPr>
            <w:r/>
            <w:r>
              <w:rPr>
                <w:rFonts w:ascii="Aptos" w:hAnsi="Aptos"/>
                <w:b w:val="0"/>
                <w:color w:val="1D2433"/>
                <w:sz w:val="15"/>
              </w:rPr>
              <w:t>Tier replay and boundary-date tests pass.</w:t>
            </w:r>
          </w:p>
        </w:tc>
      </w:tr>
      <w:tr>
        <w:tc>
          <w:tcPr>
            <w:tcW w:type="dxa" w:w="8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TIER-002</w:t>
            </w:r>
          </w:p>
        </w:tc>
        <w:tc>
          <w:tcPr>
            <w:tcW w:type="dxa" w:w="54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Show progress and required remaining activity without exposing exploitable fraud logic.</w:t>
            </w:r>
          </w:p>
        </w:tc>
        <w:tc>
          <w:tcPr>
            <w:tcW w:type="dxa" w:w="30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Customer display matches engine calculation.</w:t>
            </w:r>
          </w:p>
        </w:tc>
      </w:tr>
      <w:tr>
        <w:tc>
          <w:tcPr>
            <w:tcW w:type="dxa" w:w="850"/>
            <w:vAlign w:val="top"/>
            <w:tcMar>
              <w:top w:w="90" w:type="dxa"/>
              <w:start w:w="120" w:type="dxa"/>
              <w:bottom w:w="90" w:type="dxa"/>
              <w:end w:w="120" w:type="dxa"/>
            </w:tcMar>
          </w:tcPr>
          <w:p>
            <w:pPr>
              <w:spacing w:after="0" w:line="250" w:lineRule="auto"/>
            </w:pPr>
            <w:r/>
            <w:r>
              <w:rPr>
                <w:rFonts w:ascii="Aptos" w:hAnsi="Aptos"/>
                <w:b w:val="0"/>
                <w:color w:val="1D2433"/>
                <w:sz w:val="15"/>
              </w:rPr>
              <w:t>GAME-001</w:t>
            </w:r>
          </w:p>
        </w:tc>
        <w:tc>
          <w:tcPr>
            <w:tcW w:type="dxa" w:w="5450"/>
            <w:vAlign w:val="top"/>
            <w:tcMar>
              <w:top w:w="90" w:type="dxa"/>
              <w:start w:w="120" w:type="dxa"/>
              <w:bottom w:w="90" w:type="dxa"/>
              <w:end w:w="120" w:type="dxa"/>
            </w:tcMar>
          </w:tcPr>
          <w:p>
            <w:pPr>
              <w:spacing w:after="0" w:line="250" w:lineRule="auto"/>
            </w:pPr>
            <w:r/>
            <w:r>
              <w:rPr>
                <w:rFonts w:ascii="Aptos" w:hAnsi="Aptos"/>
                <w:b w:val="0"/>
                <w:color w:val="1D2433"/>
                <w:sz w:val="15"/>
              </w:rPr>
              <w:t>Support challenges across parks, products, visits, seasons and household/participant contexts.</w:t>
            </w:r>
          </w:p>
        </w:tc>
        <w:tc>
          <w:tcPr>
            <w:tcW w:type="dxa" w:w="3060"/>
            <w:vAlign w:val="top"/>
            <w:tcMar>
              <w:top w:w="90" w:type="dxa"/>
              <w:start w:w="120" w:type="dxa"/>
              <w:bottom w:w="90" w:type="dxa"/>
              <w:end w:w="120" w:type="dxa"/>
            </w:tcMar>
          </w:tcPr>
          <w:p>
            <w:pPr>
              <w:spacing w:after="0" w:line="250" w:lineRule="auto"/>
            </w:pPr>
            <w:r/>
            <w:r>
              <w:rPr>
                <w:rFonts w:ascii="Aptos" w:hAnsi="Aptos"/>
                <w:b w:val="0"/>
                <w:color w:val="1D2433"/>
                <w:sz w:val="15"/>
              </w:rPr>
              <w:t>Progress is event-driven, idempotent and reversible.</w:t>
            </w:r>
          </w:p>
        </w:tc>
      </w:tr>
      <w:tr>
        <w:tc>
          <w:tcPr>
            <w:tcW w:type="dxa" w:w="8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GAME-002</w:t>
            </w:r>
          </w:p>
        </w:tc>
        <w:tc>
          <w:tcPr>
            <w:tcW w:type="dxa" w:w="54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Issue badges and rewards only once per qualifying challenge version.</w:t>
            </w:r>
          </w:p>
        </w:tc>
        <w:tc>
          <w:tcPr>
            <w:tcW w:type="dxa" w:w="30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Concurrency and replay tests show no duplicate issue.</w:t>
            </w:r>
          </w:p>
        </w:tc>
      </w:tr>
      <w:tr>
        <w:tc>
          <w:tcPr>
            <w:tcW w:type="dxa" w:w="850"/>
            <w:vAlign w:val="top"/>
            <w:tcMar>
              <w:top w:w="90" w:type="dxa"/>
              <w:start w:w="120" w:type="dxa"/>
              <w:bottom w:w="90" w:type="dxa"/>
              <w:end w:w="120" w:type="dxa"/>
            </w:tcMar>
          </w:tcPr>
          <w:p>
            <w:pPr>
              <w:spacing w:after="0" w:line="250" w:lineRule="auto"/>
            </w:pPr>
            <w:r/>
            <w:r>
              <w:rPr>
                <w:rFonts w:ascii="Aptos" w:hAnsi="Aptos"/>
                <w:b w:val="0"/>
                <w:color w:val="1D2433"/>
                <w:sz w:val="15"/>
              </w:rPr>
              <w:t>GAME-003</w:t>
            </w:r>
          </w:p>
        </w:tc>
        <w:tc>
          <w:tcPr>
            <w:tcW w:type="dxa" w:w="5450"/>
            <w:vAlign w:val="top"/>
            <w:tcMar>
              <w:top w:w="90" w:type="dxa"/>
              <w:start w:w="120" w:type="dxa"/>
              <w:bottom w:w="90" w:type="dxa"/>
              <w:end w:w="120" w:type="dxa"/>
            </w:tcMar>
          </w:tcPr>
          <w:p>
            <w:pPr>
              <w:spacing w:after="0" w:line="250" w:lineRule="auto"/>
            </w:pPr>
            <w:r/>
            <w:r>
              <w:rPr>
                <w:rFonts w:ascii="Aptos" w:hAnsi="Aptos"/>
                <w:b w:val="0"/>
                <w:color w:val="1D2433"/>
                <w:sz w:val="15"/>
              </w:rPr>
              <w:t>Avoid manipulative or unsafe mechanics for children; no pressure countdowns unrelated to genuine availability.</w:t>
            </w:r>
          </w:p>
        </w:tc>
        <w:tc>
          <w:tcPr>
            <w:tcW w:type="dxa" w:w="3060"/>
            <w:vAlign w:val="top"/>
            <w:tcMar>
              <w:top w:w="90" w:type="dxa"/>
              <w:start w:w="120" w:type="dxa"/>
              <w:bottom w:w="90" w:type="dxa"/>
              <w:end w:w="120" w:type="dxa"/>
            </w:tcMar>
          </w:tcPr>
          <w:p>
            <w:pPr>
              <w:spacing w:after="0" w:line="250" w:lineRule="auto"/>
            </w:pPr>
            <w:r/>
            <w:r>
              <w:rPr>
                <w:rFonts w:ascii="Aptos" w:hAnsi="Aptos"/>
                <w:b w:val="0"/>
                <w:color w:val="1D2433"/>
                <w:sz w:val="15"/>
              </w:rPr>
              <w:t>Content and policy review evidence exists for active missions.</w:t>
            </w:r>
          </w:p>
        </w:tc>
      </w:tr>
    </w:tbl>
    <w:p>
      <w:pPr>
        <w:spacing w:after="20"/>
      </w:pPr>
    </w:p>
    <w:p>
      <w:pPr>
        <w:pStyle w:val="Heading2"/>
        <w:keepNext/>
      </w:pPr>
      <w:r>
        <w:t>8.5 Rewards</w:t>
      </w:r>
    </w:p>
    <w:tbl>
      <w:tblPr>
        <w:tblStyle w:val="TableGrid"/>
        <w:tblW w:type="dxa" w:w="9360"/>
        <w:jc w:val="left"/>
        <w:tblLayout w:type="fixed"/>
        <w:tblLook w:firstColumn="1" w:firstRow="1" w:lastColumn="0" w:lastRow="0" w:noHBand="0" w:noVBand="1" w:val="04A0"/>
        <w:tblInd w:w="120" w:type="dxa"/>
      </w:tblPr>
      <w:tblGrid>
        <w:gridCol w:w="850"/>
        <w:gridCol w:w="5450"/>
        <w:gridCol w:w="3060"/>
      </w:tblGrid>
      <w:tr>
        <w:trPr>
          <w:tblHeader w:val="true"/>
        </w:trPr>
        <w:tc>
          <w:tcPr>
            <w:tcW w:type="dxa" w:w="850"/>
            <w:vAlign w:val="center"/>
            <w:shd w:fill="0B2545"/>
            <w:tcMar>
              <w:top w:w="90" w:type="dxa"/>
              <w:start w:w="120" w:type="dxa"/>
              <w:bottom w:w="90" w:type="dxa"/>
              <w:end w:w="120" w:type="dxa"/>
            </w:tcMar>
          </w:tcPr>
          <w:p>
            <w:pPr>
              <w:spacing w:after="0"/>
            </w:pPr>
            <w:r/>
            <w:r>
              <w:rPr>
                <w:rFonts w:ascii="Aptos" w:hAnsi="Aptos"/>
                <w:b/>
                <w:color w:val="FFFFFF"/>
                <w:sz w:val="15"/>
              </w:rPr>
              <w:t>ID</w:t>
            </w:r>
          </w:p>
        </w:tc>
        <w:tc>
          <w:tcPr>
            <w:tcW w:type="dxa" w:w="5450"/>
            <w:shd w:fill="0B2545"/>
            <w:tcMar>
              <w:top w:w="90" w:type="dxa"/>
              <w:start w:w="120" w:type="dxa"/>
              <w:bottom w:w="90" w:type="dxa"/>
              <w:end w:w="120" w:type="dxa"/>
            </w:tcMar>
          </w:tcPr>
          <w:p>
            <w:pPr>
              <w:spacing w:after="0"/>
            </w:pPr>
            <w:r/>
            <w:r>
              <w:rPr>
                <w:rFonts w:ascii="Aptos" w:hAnsi="Aptos"/>
                <w:b/>
                <w:color w:val="FFFFFF"/>
                <w:sz w:val="15"/>
              </w:rPr>
              <w:t>Production requirement</w:t>
            </w:r>
          </w:p>
        </w:tc>
        <w:tc>
          <w:tcPr>
            <w:tcW w:type="dxa" w:w="3060"/>
            <w:shd w:fill="0B2545"/>
            <w:tcMar>
              <w:top w:w="90" w:type="dxa"/>
              <w:start w:w="120" w:type="dxa"/>
              <w:bottom w:w="90" w:type="dxa"/>
              <w:end w:w="120" w:type="dxa"/>
            </w:tcMar>
          </w:tcPr>
          <w:p>
            <w:pPr>
              <w:spacing w:after="0"/>
            </w:pPr>
            <w:r/>
            <w:r>
              <w:rPr>
                <w:rFonts w:ascii="Aptos" w:hAnsi="Aptos"/>
                <w:b/>
                <w:color w:val="FFFFFF"/>
                <w:sz w:val="15"/>
              </w:rPr>
              <w:t>Acceptance evidence</w:t>
            </w:r>
          </w:p>
        </w:tc>
      </w:tr>
      <w:tr>
        <w:tc>
          <w:tcPr>
            <w:tcW w:type="dxa" w:w="850"/>
            <w:vAlign w:val="top"/>
            <w:tcMar>
              <w:top w:w="90" w:type="dxa"/>
              <w:start w:w="120" w:type="dxa"/>
              <w:bottom w:w="90" w:type="dxa"/>
              <w:end w:w="120" w:type="dxa"/>
            </w:tcMar>
          </w:tcPr>
          <w:p>
            <w:pPr>
              <w:spacing w:after="0" w:line="250" w:lineRule="auto"/>
            </w:pPr>
            <w:r/>
            <w:r>
              <w:rPr>
                <w:rFonts w:ascii="Aptos" w:hAnsi="Aptos"/>
                <w:b w:val="0"/>
                <w:color w:val="1D2433"/>
                <w:sz w:val="15"/>
              </w:rPr>
              <w:t>RWD-001</w:t>
            </w:r>
          </w:p>
        </w:tc>
        <w:tc>
          <w:tcPr>
            <w:tcW w:type="dxa" w:w="5450"/>
            <w:vAlign w:val="top"/>
            <w:tcMar>
              <w:top w:w="90" w:type="dxa"/>
              <w:start w:w="120" w:type="dxa"/>
              <w:bottom w:w="90" w:type="dxa"/>
              <w:end w:w="120" w:type="dxa"/>
            </w:tcMar>
          </w:tcPr>
          <w:p>
            <w:pPr>
              <w:spacing w:after="0" w:line="250" w:lineRule="auto"/>
            </w:pPr>
            <w:r/>
            <w:r>
              <w:rPr>
                <w:rFonts w:ascii="Aptos" w:hAnsi="Aptos"/>
                <w:b w:val="0"/>
                <w:color w:val="1D2433"/>
                <w:sz w:val="15"/>
              </w:rPr>
              <w:t>Configure rewards by type: discount, free item/activity, upgrade, access, multipass use, F&amp;B, partner benefit or surprise-and-delight.</w:t>
            </w:r>
          </w:p>
        </w:tc>
        <w:tc>
          <w:tcPr>
            <w:tcW w:type="dxa" w:w="3060"/>
            <w:vAlign w:val="top"/>
            <w:tcMar>
              <w:top w:w="90" w:type="dxa"/>
              <w:start w:w="120" w:type="dxa"/>
              <w:bottom w:w="90" w:type="dxa"/>
              <w:end w:w="120" w:type="dxa"/>
            </w:tcMar>
          </w:tcPr>
          <w:p>
            <w:pPr>
              <w:spacing w:after="0" w:line="250" w:lineRule="auto"/>
            </w:pPr>
            <w:r/>
            <w:r>
              <w:rPr>
                <w:rFonts w:ascii="Aptos" w:hAnsi="Aptos"/>
                <w:b w:val="0"/>
                <w:color w:val="1D2433"/>
                <w:sz w:val="15"/>
              </w:rPr>
              <w:t>Each type has fulfilment and reversal tests.</w:t>
            </w:r>
          </w:p>
        </w:tc>
      </w:tr>
      <w:tr>
        <w:tc>
          <w:tcPr>
            <w:tcW w:type="dxa" w:w="8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RWD-002</w:t>
            </w:r>
          </w:p>
        </w:tc>
        <w:tc>
          <w:tcPr>
            <w:tcW w:type="dxa" w:w="54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Support eligibility, cost, park/product scope, valid dates, blackout periods, capacity class, stock and per-household limits.</w:t>
            </w:r>
          </w:p>
        </w:tc>
        <w:tc>
          <w:tcPr>
            <w:tcW w:type="dxa" w:w="30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Boundary and stock concurrency tests pass.</w:t>
            </w:r>
          </w:p>
        </w:tc>
      </w:tr>
      <w:tr>
        <w:tc>
          <w:tcPr>
            <w:tcW w:type="dxa" w:w="850"/>
            <w:vAlign w:val="top"/>
            <w:tcMar>
              <w:top w:w="90" w:type="dxa"/>
              <w:start w:w="120" w:type="dxa"/>
              <w:bottom w:w="90" w:type="dxa"/>
              <w:end w:w="120" w:type="dxa"/>
            </w:tcMar>
          </w:tcPr>
          <w:p>
            <w:pPr>
              <w:spacing w:after="0" w:line="250" w:lineRule="auto"/>
            </w:pPr>
            <w:r/>
            <w:r>
              <w:rPr>
                <w:rFonts w:ascii="Aptos" w:hAnsi="Aptos"/>
                <w:b w:val="0"/>
                <w:color w:val="1D2433"/>
                <w:sz w:val="15"/>
              </w:rPr>
              <w:t>RWD-003</w:t>
            </w:r>
          </w:p>
        </w:tc>
        <w:tc>
          <w:tcPr>
            <w:tcW w:type="dxa" w:w="5450"/>
            <w:vAlign w:val="top"/>
            <w:tcMar>
              <w:top w:w="90" w:type="dxa"/>
              <w:start w:w="120" w:type="dxa"/>
              <w:bottom w:w="90" w:type="dxa"/>
              <w:end w:w="120" w:type="dxa"/>
            </w:tcMar>
          </w:tcPr>
          <w:p>
            <w:pPr>
              <w:spacing w:after="0" w:line="250" w:lineRule="auto"/>
            </w:pPr>
            <w:r/>
            <w:r>
              <w:rPr>
                <w:rFonts w:ascii="Aptos" w:hAnsi="Aptos"/>
                <w:b w:val="0"/>
                <w:color w:val="1D2433"/>
                <w:sz w:val="15"/>
              </w:rPr>
              <w:t>Support immediate issue, claim, reservation and redemption states with explicit expiry.</w:t>
            </w:r>
          </w:p>
        </w:tc>
        <w:tc>
          <w:tcPr>
            <w:tcW w:type="dxa" w:w="3060"/>
            <w:vAlign w:val="top"/>
            <w:tcMar>
              <w:top w:w="90" w:type="dxa"/>
              <w:start w:w="120" w:type="dxa"/>
              <w:bottom w:w="90" w:type="dxa"/>
              <w:end w:w="120" w:type="dxa"/>
            </w:tcMar>
          </w:tcPr>
          <w:p>
            <w:pPr>
              <w:spacing w:after="0" w:line="250" w:lineRule="auto"/>
            </w:pPr>
            <w:r/>
            <w:r>
              <w:rPr>
                <w:rFonts w:ascii="Aptos" w:hAnsi="Aptos"/>
                <w:b w:val="0"/>
                <w:color w:val="1D2433"/>
                <w:sz w:val="15"/>
              </w:rPr>
              <w:t>State machine rejects invalid transitions.</w:t>
            </w:r>
          </w:p>
        </w:tc>
      </w:tr>
      <w:tr>
        <w:tc>
          <w:tcPr>
            <w:tcW w:type="dxa" w:w="8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RWD-004</w:t>
            </w:r>
          </w:p>
        </w:tc>
        <w:tc>
          <w:tcPr>
            <w:tcW w:type="dxa" w:w="54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Reserve capacity-sensitive rewards for a bounded time and release automatically.</w:t>
            </w:r>
          </w:p>
        </w:tc>
        <w:tc>
          <w:tcPr>
            <w:tcW w:type="dxa" w:w="30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Expiry job and booking link reconcile.</w:t>
            </w:r>
          </w:p>
        </w:tc>
      </w:tr>
      <w:tr>
        <w:tc>
          <w:tcPr>
            <w:tcW w:type="dxa" w:w="850"/>
            <w:vAlign w:val="top"/>
            <w:tcMar>
              <w:top w:w="90" w:type="dxa"/>
              <w:start w:w="120" w:type="dxa"/>
              <w:bottom w:w="90" w:type="dxa"/>
              <w:end w:w="120" w:type="dxa"/>
            </w:tcMar>
          </w:tcPr>
          <w:p>
            <w:pPr>
              <w:spacing w:after="0" w:line="250" w:lineRule="auto"/>
            </w:pPr>
            <w:r/>
            <w:r>
              <w:rPr>
                <w:rFonts w:ascii="Aptos" w:hAnsi="Aptos"/>
                <w:b w:val="0"/>
                <w:color w:val="1D2433"/>
                <w:sz w:val="15"/>
              </w:rPr>
              <w:t>RWD-005</w:t>
            </w:r>
          </w:p>
        </w:tc>
        <w:tc>
          <w:tcPr>
            <w:tcW w:type="dxa" w:w="5450"/>
            <w:vAlign w:val="top"/>
            <w:tcMar>
              <w:top w:w="90" w:type="dxa"/>
              <w:start w:w="120" w:type="dxa"/>
              <w:bottom w:w="90" w:type="dxa"/>
              <w:end w:w="120" w:type="dxa"/>
            </w:tcMar>
          </w:tcPr>
          <w:p>
            <w:pPr>
              <w:spacing w:after="0" w:line="250" w:lineRule="auto"/>
            </w:pPr>
            <w:r/>
            <w:r>
              <w:rPr>
                <w:rFonts w:ascii="Aptos" w:hAnsi="Aptos"/>
                <w:b w:val="0"/>
                <w:color w:val="1D2433"/>
                <w:sz w:val="15"/>
              </w:rPr>
              <w:t>Require a fresh scan/online token and staff/product confirmation at redemption.</w:t>
            </w:r>
          </w:p>
        </w:tc>
        <w:tc>
          <w:tcPr>
            <w:tcW w:type="dxa" w:w="3060"/>
            <w:vAlign w:val="top"/>
            <w:tcMar>
              <w:top w:w="90" w:type="dxa"/>
              <w:start w:w="120" w:type="dxa"/>
              <w:bottom w:w="90" w:type="dxa"/>
              <w:end w:w="120" w:type="dxa"/>
            </w:tcMar>
          </w:tcPr>
          <w:p>
            <w:pPr>
              <w:spacing w:after="0" w:line="250" w:lineRule="auto"/>
            </w:pPr>
            <w:r/>
            <w:r>
              <w:rPr>
                <w:rFonts w:ascii="Aptos" w:hAnsi="Aptos"/>
                <w:b w:val="0"/>
                <w:color w:val="1D2433"/>
                <w:sz w:val="15"/>
              </w:rPr>
              <w:t>Replay and wrong-park/product tests fail safely.</w:t>
            </w:r>
          </w:p>
        </w:tc>
      </w:tr>
      <w:tr>
        <w:tc>
          <w:tcPr>
            <w:tcW w:type="dxa" w:w="8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RWD-006</w:t>
            </w:r>
          </w:p>
        </w:tc>
        <w:tc>
          <w:tcPr>
            <w:tcW w:type="dxa" w:w="54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Allow manager-approved service recovery rewards with reason categories and budget.</w:t>
            </w:r>
          </w:p>
        </w:tc>
        <w:tc>
          <w:tcPr>
            <w:tcW w:type="dxa" w:w="30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Audit and budget reports show issuer and case.</w:t>
            </w:r>
          </w:p>
        </w:tc>
      </w:tr>
    </w:tbl>
    <w:p>
      <w:pPr>
        <w:spacing w:after="20"/>
      </w:pPr>
    </w:p>
    <w:p>
      <w:pPr>
        <w:pStyle w:val="Heading1"/>
        <w:keepNext/>
      </w:pPr>
      <w:r>
        <w:t>9. Vouchers, gift cards, coupons, memberships and passes</w:t>
      </w:r>
    </w:p>
    <w:p>
      <w:pPr>
        <w:pStyle w:val="Heading2"/>
        <w:keepNext/>
      </w:pPr>
      <w:r>
        <w:t>9.1 Instrument separation</w:t>
      </w:r>
    </w:p>
    <w:p>
      <w:r>
        <w:rPr>
          <w:rFonts w:ascii="Aptos" w:hAnsi="Aptos"/>
          <w:b w:val="0"/>
          <w:i w:val="0"/>
          <w:color w:val="1D2433"/>
          <w:sz w:val="19"/>
        </w:rPr>
        <w:t>Coupons, promotional rewards, prepaid entitlements and purchased gift value must not share one ambiguous object or balance. Each instrument has a distinct legal, accounting and operational lifecycle. Customer-facing language must make clear whether an item is money, a discount, a right to attend, or a loyalty reward.</w:t>
      </w:r>
    </w:p>
    <w:p>
      <w:pPr>
        <w:pStyle w:val="Heading2"/>
        <w:keepNext/>
      </w:pPr>
      <w:r>
        <w:t>9.2 Vouchers and gift cards</w:t>
      </w:r>
    </w:p>
    <w:tbl>
      <w:tblPr>
        <w:tblStyle w:val="TableGrid"/>
        <w:tblW w:type="dxa" w:w="9360"/>
        <w:jc w:val="left"/>
        <w:tblLayout w:type="fixed"/>
        <w:tblLook w:firstColumn="1" w:firstRow="1" w:lastColumn="0" w:lastRow="0" w:noHBand="0" w:noVBand="1" w:val="04A0"/>
        <w:tblInd w:w="120" w:type="dxa"/>
      </w:tblPr>
      <w:tblGrid>
        <w:gridCol w:w="850"/>
        <w:gridCol w:w="5450"/>
        <w:gridCol w:w="3060"/>
      </w:tblGrid>
      <w:tr>
        <w:trPr>
          <w:tblHeader w:val="true"/>
        </w:trPr>
        <w:tc>
          <w:tcPr>
            <w:tcW w:type="dxa" w:w="850"/>
            <w:vAlign w:val="center"/>
            <w:shd w:fill="0B2545"/>
            <w:tcMar>
              <w:top w:w="90" w:type="dxa"/>
              <w:start w:w="120" w:type="dxa"/>
              <w:bottom w:w="90" w:type="dxa"/>
              <w:end w:w="120" w:type="dxa"/>
            </w:tcMar>
          </w:tcPr>
          <w:p>
            <w:pPr>
              <w:spacing w:after="0"/>
            </w:pPr>
            <w:r/>
            <w:r>
              <w:rPr>
                <w:rFonts w:ascii="Aptos" w:hAnsi="Aptos"/>
                <w:b/>
                <w:color w:val="FFFFFF"/>
                <w:sz w:val="15"/>
              </w:rPr>
              <w:t>ID</w:t>
            </w:r>
          </w:p>
        </w:tc>
        <w:tc>
          <w:tcPr>
            <w:tcW w:type="dxa" w:w="5450"/>
            <w:shd w:fill="0B2545"/>
            <w:tcMar>
              <w:top w:w="90" w:type="dxa"/>
              <w:start w:w="120" w:type="dxa"/>
              <w:bottom w:w="90" w:type="dxa"/>
              <w:end w:w="120" w:type="dxa"/>
            </w:tcMar>
          </w:tcPr>
          <w:p>
            <w:pPr>
              <w:spacing w:after="0"/>
            </w:pPr>
            <w:r/>
            <w:r>
              <w:rPr>
                <w:rFonts w:ascii="Aptos" w:hAnsi="Aptos"/>
                <w:b/>
                <w:color w:val="FFFFFF"/>
                <w:sz w:val="15"/>
              </w:rPr>
              <w:t>Production requirement</w:t>
            </w:r>
          </w:p>
        </w:tc>
        <w:tc>
          <w:tcPr>
            <w:tcW w:type="dxa" w:w="3060"/>
            <w:shd w:fill="0B2545"/>
            <w:tcMar>
              <w:top w:w="90" w:type="dxa"/>
              <w:start w:w="120" w:type="dxa"/>
              <w:bottom w:w="90" w:type="dxa"/>
              <w:end w:w="120" w:type="dxa"/>
            </w:tcMar>
          </w:tcPr>
          <w:p>
            <w:pPr>
              <w:spacing w:after="0"/>
            </w:pPr>
            <w:r/>
            <w:r>
              <w:rPr>
                <w:rFonts w:ascii="Aptos" w:hAnsi="Aptos"/>
                <w:b/>
                <w:color w:val="FFFFFF"/>
                <w:sz w:val="15"/>
              </w:rPr>
              <w:t>Acceptance evidence</w:t>
            </w:r>
          </w:p>
        </w:tc>
      </w:tr>
      <w:tr>
        <w:tc>
          <w:tcPr>
            <w:tcW w:type="dxa" w:w="850"/>
            <w:vAlign w:val="top"/>
            <w:tcMar>
              <w:top w:w="90" w:type="dxa"/>
              <w:start w:w="120" w:type="dxa"/>
              <w:bottom w:w="90" w:type="dxa"/>
              <w:end w:w="120" w:type="dxa"/>
            </w:tcMar>
          </w:tcPr>
          <w:p>
            <w:pPr>
              <w:spacing w:after="0" w:line="250" w:lineRule="auto"/>
            </w:pPr>
            <w:r/>
            <w:r>
              <w:rPr>
                <w:rFonts w:ascii="Aptos" w:hAnsi="Aptos"/>
                <w:b w:val="0"/>
                <w:color w:val="1D2433"/>
                <w:sz w:val="15"/>
              </w:rPr>
              <w:t>GFT-001</w:t>
            </w:r>
          </w:p>
        </w:tc>
        <w:tc>
          <w:tcPr>
            <w:tcW w:type="dxa" w:w="5450"/>
            <w:vAlign w:val="top"/>
            <w:tcMar>
              <w:top w:w="90" w:type="dxa"/>
              <w:start w:w="120" w:type="dxa"/>
              <w:bottom w:w="90" w:type="dxa"/>
              <w:end w:w="120" w:type="dxa"/>
            </w:tcMar>
          </w:tcPr>
          <w:p>
            <w:pPr>
              <w:spacing w:after="0" w:line="250" w:lineRule="auto"/>
            </w:pPr>
            <w:r/>
            <w:r>
              <w:rPr>
                <w:rFonts w:ascii="Aptos" w:hAnsi="Aptos"/>
                <w:b w:val="0"/>
                <w:color w:val="1D2433"/>
                <w:sz w:val="15"/>
              </w:rPr>
              <w:t>Sell configurable digital vouchers and gift cards through approved payment provider integration.</w:t>
            </w:r>
          </w:p>
        </w:tc>
        <w:tc>
          <w:tcPr>
            <w:tcW w:type="dxa" w:w="3060"/>
            <w:vAlign w:val="top"/>
            <w:tcMar>
              <w:top w:w="90" w:type="dxa"/>
              <w:start w:w="120" w:type="dxa"/>
              <w:bottom w:w="90" w:type="dxa"/>
              <w:end w:w="120" w:type="dxa"/>
            </w:tcMar>
          </w:tcPr>
          <w:p>
            <w:pPr>
              <w:spacing w:after="0" w:line="250" w:lineRule="auto"/>
            </w:pPr>
            <w:r/>
            <w:r>
              <w:rPr>
                <w:rFonts w:ascii="Aptos" w:hAnsi="Aptos"/>
                <w:b w:val="0"/>
                <w:color w:val="1D2433"/>
                <w:sz w:val="15"/>
              </w:rPr>
              <w:t>Purchase, 3DS/SCA, failure, refund and chargeback tests pass.</w:t>
            </w:r>
          </w:p>
        </w:tc>
      </w:tr>
      <w:tr>
        <w:tc>
          <w:tcPr>
            <w:tcW w:type="dxa" w:w="8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GFT-002</w:t>
            </w:r>
          </w:p>
        </w:tc>
        <w:tc>
          <w:tcPr>
            <w:tcW w:type="dxa" w:w="54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Support recipient email/mobile delivery, scheduled delivery, personal message and secure claim.</w:t>
            </w:r>
          </w:p>
        </w:tc>
        <w:tc>
          <w:tcPr>
            <w:tcW w:type="dxa" w:w="30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Recipient cannot access purchaser data beyond intended message.</w:t>
            </w:r>
          </w:p>
        </w:tc>
      </w:tr>
      <w:tr>
        <w:tc>
          <w:tcPr>
            <w:tcW w:type="dxa" w:w="850"/>
            <w:vAlign w:val="top"/>
            <w:tcMar>
              <w:top w:w="90" w:type="dxa"/>
              <w:start w:w="120" w:type="dxa"/>
              <w:bottom w:w="90" w:type="dxa"/>
              <w:end w:w="120" w:type="dxa"/>
            </w:tcMar>
          </w:tcPr>
          <w:p>
            <w:pPr>
              <w:spacing w:after="0" w:line="250" w:lineRule="auto"/>
            </w:pPr>
            <w:r/>
            <w:r>
              <w:rPr>
                <w:rFonts w:ascii="Aptos" w:hAnsi="Aptos"/>
                <w:b w:val="0"/>
                <w:color w:val="1D2433"/>
                <w:sz w:val="15"/>
              </w:rPr>
              <w:t>GFT-003</w:t>
            </w:r>
          </w:p>
        </w:tc>
        <w:tc>
          <w:tcPr>
            <w:tcW w:type="dxa" w:w="5450"/>
            <w:vAlign w:val="top"/>
            <w:tcMar>
              <w:top w:w="90" w:type="dxa"/>
              <w:start w:w="120" w:type="dxa"/>
              <w:bottom w:w="90" w:type="dxa"/>
              <w:end w:w="120" w:type="dxa"/>
            </w:tcMar>
          </w:tcPr>
          <w:p>
            <w:pPr>
              <w:spacing w:after="0" w:line="250" w:lineRule="auto"/>
            </w:pPr>
            <w:r/>
            <w:r>
              <w:rPr>
                <w:rFonts w:ascii="Aptos" w:hAnsi="Aptos"/>
                <w:b w:val="0"/>
                <w:color w:val="1D2433"/>
                <w:sz w:val="15"/>
              </w:rPr>
              <w:t>Support cross-park redemption according to product terms, including Quantum Park’s publicly offered one-year voucher validity.</w:t>
            </w:r>
          </w:p>
        </w:tc>
        <w:tc>
          <w:tcPr>
            <w:tcW w:type="dxa" w:w="3060"/>
            <w:vAlign w:val="top"/>
            <w:tcMar>
              <w:top w:w="90" w:type="dxa"/>
              <w:start w:w="120" w:type="dxa"/>
              <w:bottom w:w="90" w:type="dxa"/>
              <w:end w:w="120" w:type="dxa"/>
            </w:tcMar>
          </w:tcPr>
          <w:p>
            <w:pPr>
              <w:spacing w:after="0" w:line="250" w:lineRule="auto"/>
            </w:pPr>
            <w:r/>
            <w:r>
              <w:rPr>
                <w:rFonts w:ascii="Aptos" w:hAnsi="Aptos"/>
                <w:b w:val="0"/>
                <w:color w:val="1D2433"/>
                <w:sz w:val="15"/>
              </w:rPr>
              <w:t>Park and validity policy tests pass.</w:t>
            </w:r>
          </w:p>
        </w:tc>
      </w:tr>
      <w:tr>
        <w:tc>
          <w:tcPr>
            <w:tcW w:type="dxa" w:w="8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GFT-004</w:t>
            </w:r>
          </w:p>
        </w:tc>
        <w:tc>
          <w:tcPr>
            <w:tcW w:type="dxa" w:w="54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Use high-entropy codes, rate limiting, masked display and redemption risk checks.</w:t>
            </w:r>
          </w:p>
        </w:tc>
        <w:tc>
          <w:tcPr>
            <w:tcW w:type="dxa" w:w="30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Enumeration and brute-force security tests fail safely.</w:t>
            </w:r>
          </w:p>
        </w:tc>
      </w:tr>
      <w:tr>
        <w:tc>
          <w:tcPr>
            <w:tcW w:type="dxa" w:w="850"/>
            <w:vAlign w:val="top"/>
            <w:tcMar>
              <w:top w:w="90" w:type="dxa"/>
              <w:start w:w="120" w:type="dxa"/>
              <w:bottom w:w="90" w:type="dxa"/>
              <w:end w:w="120" w:type="dxa"/>
            </w:tcMar>
          </w:tcPr>
          <w:p>
            <w:pPr>
              <w:spacing w:after="0" w:line="250" w:lineRule="auto"/>
            </w:pPr>
            <w:r/>
            <w:r>
              <w:rPr>
                <w:rFonts w:ascii="Aptos" w:hAnsi="Aptos"/>
                <w:b w:val="0"/>
                <w:color w:val="1D2433"/>
                <w:sz w:val="15"/>
              </w:rPr>
              <w:t>GFT-005</w:t>
            </w:r>
          </w:p>
        </w:tc>
        <w:tc>
          <w:tcPr>
            <w:tcW w:type="dxa" w:w="5450"/>
            <w:vAlign w:val="top"/>
            <w:tcMar>
              <w:top w:w="90" w:type="dxa"/>
              <w:start w:w="120" w:type="dxa"/>
              <w:bottom w:w="90" w:type="dxa"/>
              <w:end w:w="120" w:type="dxa"/>
            </w:tcMar>
          </w:tcPr>
          <w:p>
            <w:pPr>
              <w:spacing w:after="0" w:line="250" w:lineRule="auto"/>
            </w:pPr>
            <w:r/>
            <w:r>
              <w:rPr>
                <w:rFonts w:ascii="Aptos" w:hAnsi="Aptos"/>
                <w:b w:val="0"/>
                <w:color w:val="1D2433"/>
                <w:sz w:val="15"/>
              </w:rPr>
              <w:t>Reconcile purchased, redeemed, refunded, expired and outstanding monetary value daily.</w:t>
            </w:r>
          </w:p>
        </w:tc>
        <w:tc>
          <w:tcPr>
            <w:tcW w:type="dxa" w:w="3060"/>
            <w:vAlign w:val="top"/>
            <w:tcMar>
              <w:top w:w="90" w:type="dxa"/>
              <w:start w:w="120" w:type="dxa"/>
              <w:bottom w:w="90" w:type="dxa"/>
              <w:end w:w="120" w:type="dxa"/>
            </w:tcMar>
          </w:tcPr>
          <w:p>
            <w:pPr>
              <w:spacing w:after="0" w:line="250" w:lineRule="auto"/>
            </w:pPr>
            <w:r/>
            <w:r>
              <w:rPr>
                <w:rFonts w:ascii="Aptos" w:hAnsi="Aptos"/>
                <w:b w:val="0"/>
                <w:color w:val="1D2433"/>
                <w:sz w:val="15"/>
              </w:rPr>
              <w:t>Finance report totals equal ledger and payment settlements.</w:t>
            </w:r>
          </w:p>
        </w:tc>
      </w:tr>
      <w:tr>
        <w:tc>
          <w:tcPr>
            <w:tcW w:type="dxa" w:w="8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GFT-006</w:t>
            </w:r>
          </w:p>
        </w:tc>
        <w:tc>
          <w:tcPr>
            <w:tcW w:type="dxa" w:w="54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Support partial redemption only for instruments configured to allow it.</w:t>
            </w:r>
          </w:p>
        </w:tc>
        <w:tc>
          <w:tcPr>
            <w:tcW w:type="dxa" w:w="30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Remaining balance and receipts are accurate in minor currency units.</w:t>
            </w:r>
          </w:p>
        </w:tc>
      </w:tr>
    </w:tbl>
    <w:p>
      <w:pPr>
        <w:spacing w:after="20"/>
      </w:pPr>
    </w:p>
    <w:p>
      <w:pPr>
        <w:pStyle w:val="Heading2"/>
        <w:keepNext/>
      </w:pPr>
      <w:r>
        <w:t>9.3 Coupons and promotional codes</w:t>
      </w:r>
    </w:p>
    <w:p>
      <w:pPr>
        <w:pStyle w:val="ListBullet"/>
      </w:pPr>
      <w:r>
        <w:rPr>
          <w:rFonts w:ascii="Aptos" w:hAnsi="Aptos"/>
          <w:b w:val="0"/>
          <w:color w:val="1D2433"/>
          <w:sz w:val="19"/>
        </w:rPr>
        <w:t>Single-use, multi-use, household-limited and campaign-limited codes.</w:t>
      </w:r>
    </w:p>
    <w:p>
      <w:pPr>
        <w:pStyle w:val="ListBullet"/>
      </w:pPr>
      <w:r>
        <w:rPr>
          <w:rFonts w:ascii="Aptos" w:hAnsi="Aptos"/>
          <w:b w:val="0"/>
          <w:color w:val="1D2433"/>
          <w:sz w:val="19"/>
        </w:rPr>
        <w:t>Public codes, unique codes, partner/source codes and dynamically signed QR offers.</w:t>
      </w:r>
    </w:p>
    <w:p>
      <w:pPr>
        <w:pStyle w:val="ListBullet"/>
      </w:pPr>
      <w:r>
        <w:rPr>
          <w:rFonts w:ascii="Aptos" w:hAnsi="Aptos"/>
          <w:b w:val="0"/>
          <w:color w:val="1D2433"/>
          <w:sz w:val="19"/>
        </w:rPr>
        <w:t>Eligibility, minimum basket, product, park, time, channel, stacking and budget restrictions.</w:t>
      </w:r>
    </w:p>
    <w:p>
      <w:pPr>
        <w:pStyle w:val="ListBullet"/>
      </w:pPr>
      <w:r>
        <w:rPr>
          <w:rFonts w:ascii="Aptos" w:hAnsi="Aptos"/>
          <w:b w:val="0"/>
          <w:color w:val="1D2433"/>
          <w:sz w:val="19"/>
        </w:rPr>
        <w:t>Code reservation during checkout with expiry and release.</w:t>
      </w:r>
    </w:p>
    <w:p>
      <w:pPr>
        <w:pStyle w:val="ListBullet"/>
      </w:pPr>
      <w:r>
        <w:rPr>
          <w:rFonts w:ascii="Aptos" w:hAnsi="Aptos"/>
          <w:b w:val="0"/>
          <w:color w:val="1D2433"/>
          <w:sz w:val="19"/>
        </w:rPr>
        <w:t>Affiliate/partner attribution without exposing customer data to the partner.</w:t>
      </w:r>
    </w:p>
    <w:p>
      <w:pPr>
        <w:pStyle w:val="ListBullet"/>
      </w:pPr>
      <w:r>
        <w:rPr>
          <w:rFonts w:ascii="Aptos" w:hAnsi="Aptos"/>
          <w:b w:val="0"/>
          <w:color w:val="1D2433"/>
          <w:sz w:val="19"/>
        </w:rPr>
        <w:t>Leakage and abuse monitoring, including excessive redemptions by device, contact or household cluster.</w:t>
      </w:r>
    </w:p>
    <w:p>
      <w:pPr>
        <w:pStyle w:val="Heading2"/>
        <w:keepNext/>
      </w:pPr>
      <w:r>
        <w:t>9.4 Memberships and multipass</w:t>
      </w:r>
    </w:p>
    <w:tbl>
      <w:tblPr>
        <w:tblStyle w:val="TableGrid"/>
        <w:tblW w:type="dxa" w:w="9360"/>
        <w:jc w:val="left"/>
        <w:tblLayout w:type="fixed"/>
        <w:tblLook w:firstColumn="1" w:firstRow="1" w:lastColumn="0" w:lastRow="0" w:noHBand="0" w:noVBand="1" w:val="04A0"/>
        <w:tblInd w:w="120" w:type="dxa"/>
      </w:tblPr>
      <w:tblGrid>
        <w:gridCol w:w="850"/>
        <w:gridCol w:w="5450"/>
        <w:gridCol w:w="3060"/>
      </w:tblGrid>
      <w:tr>
        <w:trPr>
          <w:tblHeader w:val="true"/>
        </w:trPr>
        <w:tc>
          <w:tcPr>
            <w:tcW w:type="dxa" w:w="850"/>
            <w:vAlign w:val="center"/>
            <w:shd w:fill="0B2545"/>
            <w:tcMar>
              <w:top w:w="90" w:type="dxa"/>
              <w:start w:w="120" w:type="dxa"/>
              <w:bottom w:w="90" w:type="dxa"/>
              <w:end w:w="120" w:type="dxa"/>
            </w:tcMar>
          </w:tcPr>
          <w:p>
            <w:pPr>
              <w:spacing w:after="0"/>
            </w:pPr>
            <w:r/>
            <w:r>
              <w:rPr>
                <w:rFonts w:ascii="Aptos" w:hAnsi="Aptos"/>
                <w:b/>
                <w:color w:val="FFFFFF"/>
                <w:sz w:val="15"/>
              </w:rPr>
              <w:t>ID</w:t>
            </w:r>
          </w:p>
        </w:tc>
        <w:tc>
          <w:tcPr>
            <w:tcW w:type="dxa" w:w="5450"/>
            <w:shd w:fill="0B2545"/>
            <w:tcMar>
              <w:top w:w="90" w:type="dxa"/>
              <w:start w:w="120" w:type="dxa"/>
              <w:bottom w:w="90" w:type="dxa"/>
              <w:end w:w="120" w:type="dxa"/>
            </w:tcMar>
          </w:tcPr>
          <w:p>
            <w:pPr>
              <w:spacing w:after="0"/>
            </w:pPr>
            <w:r/>
            <w:r>
              <w:rPr>
                <w:rFonts w:ascii="Aptos" w:hAnsi="Aptos"/>
                <w:b/>
                <w:color w:val="FFFFFF"/>
                <w:sz w:val="15"/>
              </w:rPr>
              <w:t>Production requirement</w:t>
            </w:r>
          </w:p>
        </w:tc>
        <w:tc>
          <w:tcPr>
            <w:tcW w:type="dxa" w:w="3060"/>
            <w:shd w:fill="0B2545"/>
            <w:tcMar>
              <w:top w:w="90" w:type="dxa"/>
              <w:start w:w="120" w:type="dxa"/>
              <w:bottom w:w="90" w:type="dxa"/>
              <w:end w:w="120" w:type="dxa"/>
            </w:tcMar>
          </w:tcPr>
          <w:p>
            <w:pPr>
              <w:spacing w:after="0"/>
            </w:pPr>
            <w:r/>
            <w:r>
              <w:rPr>
                <w:rFonts w:ascii="Aptos" w:hAnsi="Aptos"/>
                <w:b/>
                <w:color w:val="FFFFFF"/>
                <w:sz w:val="15"/>
              </w:rPr>
              <w:t>Acceptance evidence</w:t>
            </w:r>
          </w:p>
        </w:tc>
      </w:tr>
      <w:tr>
        <w:tc>
          <w:tcPr>
            <w:tcW w:type="dxa" w:w="850"/>
            <w:vAlign w:val="top"/>
            <w:tcMar>
              <w:top w:w="90" w:type="dxa"/>
              <w:start w:w="120" w:type="dxa"/>
              <w:bottom w:w="90" w:type="dxa"/>
              <w:end w:w="120" w:type="dxa"/>
            </w:tcMar>
          </w:tcPr>
          <w:p>
            <w:pPr>
              <w:spacing w:after="0" w:line="250" w:lineRule="auto"/>
            </w:pPr>
            <w:r/>
            <w:r>
              <w:rPr>
                <w:rFonts w:ascii="Aptos" w:hAnsi="Aptos"/>
                <w:b w:val="0"/>
                <w:color w:val="1D2433"/>
                <w:sz w:val="15"/>
              </w:rPr>
              <w:t>MEM-001</w:t>
            </w:r>
          </w:p>
        </w:tc>
        <w:tc>
          <w:tcPr>
            <w:tcW w:type="dxa" w:w="5450"/>
            <w:vAlign w:val="top"/>
            <w:tcMar>
              <w:top w:w="90" w:type="dxa"/>
              <w:start w:w="120" w:type="dxa"/>
              <w:bottom w:w="90" w:type="dxa"/>
              <w:end w:w="120" w:type="dxa"/>
            </w:tcMar>
          </w:tcPr>
          <w:p>
            <w:pPr>
              <w:spacing w:after="0" w:line="250" w:lineRule="auto"/>
            </w:pPr>
            <w:r/>
            <w:r>
              <w:rPr>
                <w:rFonts w:ascii="Aptos" w:hAnsi="Aptos"/>
                <w:b w:val="0"/>
                <w:color w:val="1D2433"/>
                <w:sz w:val="15"/>
              </w:rPr>
              <w:t>Create recurring and fixed-term memberships with plans, included benefits, limits, parks, participants and renewal rules.</w:t>
            </w:r>
          </w:p>
        </w:tc>
        <w:tc>
          <w:tcPr>
            <w:tcW w:type="dxa" w:w="3060"/>
            <w:vAlign w:val="top"/>
            <w:tcMar>
              <w:top w:w="90" w:type="dxa"/>
              <w:start w:w="120" w:type="dxa"/>
              <w:bottom w:w="90" w:type="dxa"/>
              <w:end w:w="120" w:type="dxa"/>
            </w:tcMar>
          </w:tcPr>
          <w:p>
            <w:pPr>
              <w:spacing w:after="0" w:line="250" w:lineRule="auto"/>
            </w:pPr>
            <w:r/>
            <w:r>
              <w:rPr>
                <w:rFonts w:ascii="Aptos" w:hAnsi="Aptos"/>
                <w:b w:val="0"/>
                <w:color w:val="1D2433"/>
                <w:sz w:val="15"/>
              </w:rPr>
              <w:t>Plan matrix and renewal-state tests pass.</w:t>
            </w:r>
          </w:p>
        </w:tc>
      </w:tr>
      <w:tr>
        <w:tc>
          <w:tcPr>
            <w:tcW w:type="dxa" w:w="8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MEM-002</w:t>
            </w:r>
          </w:p>
        </w:tc>
        <w:tc>
          <w:tcPr>
            <w:tcW w:type="dxa" w:w="54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Create prepaid passes with N uses, validity, participant/household scope and eligible products.</w:t>
            </w:r>
          </w:p>
        </w:tc>
        <w:tc>
          <w:tcPr>
            <w:tcW w:type="dxa" w:w="30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Consumption is atomic and reversible by compensating entry.</w:t>
            </w:r>
          </w:p>
        </w:tc>
      </w:tr>
      <w:tr>
        <w:tc>
          <w:tcPr>
            <w:tcW w:type="dxa" w:w="850"/>
            <w:vAlign w:val="top"/>
            <w:tcMar>
              <w:top w:w="90" w:type="dxa"/>
              <w:start w:w="120" w:type="dxa"/>
              <w:bottom w:w="90" w:type="dxa"/>
              <w:end w:w="120" w:type="dxa"/>
            </w:tcMar>
          </w:tcPr>
          <w:p>
            <w:pPr>
              <w:spacing w:after="0" w:line="250" w:lineRule="auto"/>
            </w:pPr>
            <w:r/>
            <w:r>
              <w:rPr>
                <w:rFonts w:ascii="Aptos" w:hAnsi="Aptos"/>
                <w:b w:val="0"/>
                <w:color w:val="1D2433"/>
                <w:sz w:val="15"/>
              </w:rPr>
              <w:t>MEM-003</w:t>
            </w:r>
          </w:p>
        </w:tc>
        <w:tc>
          <w:tcPr>
            <w:tcW w:type="dxa" w:w="5450"/>
            <w:vAlign w:val="top"/>
            <w:tcMar>
              <w:top w:w="90" w:type="dxa"/>
              <w:start w:w="120" w:type="dxa"/>
              <w:bottom w:w="90" w:type="dxa"/>
              <w:end w:w="120" w:type="dxa"/>
            </w:tcMar>
          </w:tcPr>
          <w:p>
            <w:pPr>
              <w:spacing w:after="0" w:line="250" w:lineRule="auto"/>
            </w:pPr>
            <w:r/>
            <w:r>
              <w:rPr>
                <w:rFonts w:ascii="Aptos" w:hAnsi="Aptos"/>
                <w:b w:val="0"/>
                <w:color w:val="1D2433"/>
                <w:sz w:val="15"/>
              </w:rPr>
              <w:t>Handle payment retry, grace period, pause, cancellation, expiry, upgrade/downgrade and refund.</w:t>
            </w:r>
          </w:p>
        </w:tc>
        <w:tc>
          <w:tcPr>
            <w:tcW w:type="dxa" w:w="3060"/>
            <w:vAlign w:val="top"/>
            <w:tcMar>
              <w:top w:w="90" w:type="dxa"/>
              <w:start w:w="120" w:type="dxa"/>
              <w:bottom w:w="90" w:type="dxa"/>
              <w:end w:w="120" w:type="dxa"/>
            </w:tcMar>
          </w:tcPr>
          <w:p>
            <w:pPr>
              <w:spacing w:after="0" w:line="250" w:lineRule="auto"/>
            </w:pPr>
            <w:r/>
            <w:r>
              <w:rPr>
                <w:rFonts w:ascii="Aptos" w:hAnsi="Aptos"/>
                <w:b w:val="0"/>
                <w:color w:val="1D2433"/>
                <w:sz w:val="15"/>
              </w:rPr>
              <w:t>Provider webhook replay and state-transition tests pass.</w:t>
            </w:r>
          </w:p>
        </w:tc>
      </w:tr>
      <w:tr>
        <w:tc>
          <w:tcPr>
            <w:tcW w:type="dxa" w:w="8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MEM-004</w:t>
            </w:r>
          </w:p>
        </w:tc>
        <w:tc>
          <w:tcPr>
            <w:tcW w:type="dxa" w:w="54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Support fair-use and booking-capacity restrictions without falsely representing guaranteed availability.</w:t>
            </w:r>
          </w:p>
        </w:tc>
        <w:tc>
          <w:tcPr>
            <w:tcW w:type="dxa" w:w="30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Terms and booking checks are consistent.</w:t>
            </w:r>
          </w:p>
        </w:tc>
      </w:tr>
      <w:tr>
        <w:tc>
          <w:tcPr>
            <w:tcW w:type="dxa" w:w="850"/>
            <w:vAlign w:val="top"/>
            <w:tcMar>
              <w:top w:w="90" w:type="dxa"/>
              <w:start w:w="120" w:type="dxa"/>
              <w:bottom w:w="90" w:type="dxa"/>
              <w:end w:w="120" w:type="dxa"/>
            </w:tcMar>
          </w:tcPr>
          <w:p>
            <w:pPr>
              <w:spacing w:after="0" w:line="250" w:lineRule="auto"/>
            </w:pPr>
            <w:r/>
            <w:r>
              <w:rPr>
                <w:rFonts w:ascii="Aptos" w:hAnsi="Aptos"/>
                <w:b w:val="0"/>
                <w:color w:val="1D2433"/>
                <w:sz w:val="15"/>
              </w:rPr>
              <w:t>MEM-005</w:t>
            </w:r>
          </w:p>
        </w:tc>
        <w:tc>
          <w:tcPr>
            <w:tcW w:type="dxa" w:w="5450"/>
            <w:vAlign w:val="top"/>
            <w:tcMar>
              <w:top w:w="90" w:type="dxa"/>
              <w:start w:w="120" w:type="dxa"/>
              <w:bottom w:w="90" w:type="dxa"/>
              <w:end w:w="120" w:type="dxa"/>
            </w:tcMar>
          </w:tcPr>
          <w:p>
            <w:pPr>
              <w:spacing w:after="0" w:line="250" w:lineRule="auto"/>
            </w:pPr>
            <w:r/>
            <w:r>
              <w:rPr>
                <w:rFonts w:ascii="Aptos" w:hAnsi="Aptos"/>
                <w:b w:val="0"/>
                <w:color w:val="1D2433"/>
                <w:sz w:val="15"/>
              </w:rPr>
              <w:t>Send pre-renewal, failed-payment, expiry and material-term-change notices.</w:t>
            </w:r>
          </w:p>
        </w:tc>
        <w:tc>
          <w:tcPr>
            <w:tcW w:type="dxa" w:w="3060"/>
            <w:vAlign w:val="top"/>
            <w:tcMar>
              <w:top w:w="90" w:type="dxa"/>
              <w:start w:w="120" w:type="dxa"/>
              <w:bottom w:w="90" w:type="dxa"/>
              <w:end w:w="120" w:type="dxa"/>
            </w:tcMar>
          </w:tcPr>
          <w:p>
            <w:pPr>
              <w:spacing w:after="0" w:line="250" w:lineRule="auto"/>
            </w:pPr>
            <w:r/>
            <w:r>
              <w:rPr>
                <w:rFonts w:ascii="Aptos" w:hAnsi="Aptos"/>
                <w:b w:val="0"/>
                <w:color w:val="1D2433"/>
                <w:sz w:val="15"/>
              </w:rPr>
              <w:t>Message evidence and opt-out/legal-service distinction are auditable.</w:t>
            </w:r>
          </w:p>
        </w:tc>
      </w:tr>
    </w:tbl>
    <w:p>
      <w:pPr>
        <w:spacing w:after="20"/>
      </w:pPr>
    </w:p>
    <w:p>
      <w:pPr>
        <w:pStyle w:val="Heading1"/>
        <w:keepNext/>
      </w:pPr>
      <w:r>
        <w:t>10. Referral programme</w:t>
      </w:r>
    </w:p>
    <w:p>
      <w:r>
        <w:rPr>
          <w:rFonts w:ascii="Aptos" w:hAnsi="Aptos"/>
          <w:b w:val="0"/>
          <w:i w:val="0"/>
          <w:color w:val="1D2433"/>
          <w:sz w:val="19"/>
        </w:rPr>
        <w:t>The referral system should reward genuine new-household acquisition without incentivising self-referral or child-to-child solicitation. Referral benefit values are configurable and subject to finance-approved budgets.</w:t>
      </w:r>
    </w:p>
    <w:tbl>
      <w:tblPr>
        <w:tblStyle w:val="TableGrid"/>
        <w:tblW w:type="dxa" w:w="9360"/>
        <w:jc w:val="left"/>
        <w:tblLayout w:type="fixed"/>
        <w:tblLook w:firstColumn="1" w:firstRow="1" w:lastColumn="0" w:lastRow="0" w:noHBand="0" w:noVBand="1" w:val="04A0"/>
        <w:tblInd w:w="120" w:type="dxa"/>
      </w:tblPr>
      <w:tblGrid>
        <w:gridCol w:w="850"/>
        <w:gridCol w:w="5450"/>
        <w:gridCol w:w="3060"/>
      </w:tblGrid>
      <w:tr>
        <w:trPr>
          <w:tblHeader w:val="true"/>
        </w:trPr>
        <w:tc>
          <w:tcPr>
            <w:tcW w:type="dxa" w:w="850"/>
            <w:vAlign w:val="center"/>
            <w:shd w:fill="0B2545"/>
            <w:tcMar>
              <w:top w:w="90" w:type="dxa"/>
              <w:start w:w="120" w:type="dxa"/>
              <w:bottom w:w="90" w:type="dxa"/>
              <w:end w:w="120" w:type="dxa"/>
            </w:tcMar>
          </w:tcPr>
          <w:p>
            <w:pPr>
              <w:spacing w:after="0"/>
            </w:pPr>
            <w:r/>
            <w:r>
              <w:rPr>
                <w:rFonts w:ascii="Aptos" w:hAnsi="Aptos"/>
                <w:b/>
                <w:color w:val="FFFFFF"/>
                <w:sz w:val="15"/>
              </w:rPr>
              <w:t>ID</w:t>
            </w:r>
          </w:p>
        </w:tc>
        <w:tc>
          <w:tcPr>
            <w:tcW w:type="dxa" w:w="5450"/>
            <w:shd w:fill="0B2545"/>
            <w:tcMar>
              <w:top w:w="90" w:type="dxa"/>
              <w:start w:w="120" w:type="dxa"/>
              <w:bottom w:w="90" w:type="dxa"/>
              <w:end w:w="120" w:type="dxa"/>
            </w:tcMar>
          </w:tcPr>
          <w:p>
            <w:pPr>
              <w:spacing w:after="0"/>
            </w:pPr>
            <w:r/>
            <w:r>
              <w:rPr>
                <w:rFonts w:ascii="Aptos" w:hAnsi="Aptos"/>
                <w:b/>
                <w:color w:val="FFFFFF"/>
                <w:sz w:val="15"/>
              </w:rPr>
              <w:t>Production requirement</w:t>
            </w:r>
          </w:p>
        </w:tc>
        <w:tc>
          <w:tcPr>
            <w:tcW w:type="dxa" w:w="3060"/>
            <w:shd w:fill="0B2545"/>
            <w:tcMar>
              <w:top w:w="90" w:type="dxa"/>
              <w:start w:w="120" w:type="dxa"/>
              <w:bottom w:w="90" w:type="dxa"/>
              <w:end w:w="120" w:type="dxa"/>
            </w:tcMar>
          </w:tcPr>
          <w:p>
            <w:pPr>
              <w:spacing w:after="0"/>
            </w:pPr>
            <w:r/>
            <w:r>
              <w:rPr>
                <w:rFonts w:ascii="Aptos" w:hAnsi="Aptos"/>
                <w:b/>
                <w:color w:val="FFFFFF"/>
                <w:sz w:val="15"/>
              </w:rPr>
              <w:t>Acceptance evidence</w:t>
            </w:r>
          </w:p>
        </w:tc>
      </w:tr>
      <w:tr>
        <w:tc>
          <w:tcPr>
            <w:tcW w:type="dxa" w:w="850"/>
            <w:vAlign w:val="top"/>
            <w:tcMar>
              <w:top w:w="90" w:type="dxa"/>
              <w:start w:w="120" w:type="dxa"/>
              <w:bottom w:w="90" w:type="dxa"/>
              <w:end w:w="120" w:type="dxa"/>
            </w:tcMar>
          </w:tcPr>
          <w:p>
            <w:pPr>
              <w:spacing w:after="0" w:line="250" w:lineRule="auto"/>
            </w:pPr>
            <w:r/>
            <w:r>
              <w:rPr>
                <w:rFonts w:ascii="Aptos" w:hAnsi="Aptos"/>
                <w:b w:val="0"/>
                <w:color w:val="1D2433"/>
                <w:sz w:val="15"/>
              </w:rPr>
              <w:t>REF-001</w:t>
            </w:r>
          </w:p>
        </w:tc>
        <w:tc>
          <w:tcPr>
            <w:tcW w:type="dxa" w:w="5450"/>
            <w:vAlign w:val="top"/>
            <w:tcMar>
              <w:top w:w="90" w:type="dxa"/>
              <w:start w:w="120" w:type="dxa"/>
              <w:bottom w:w="90" w:type="dxa"/>
              <w:end w:w="120" w:type="dxa"/>
            </w:tcMar>
          </w:tcPr>
          <w:p>
            <w:pPr>
              <w:spacing w:after="0" w:line="250" w:lineRule="auto"/>
            </w:pPr>
            <w:r/>
            <w:r>
              <w:rPr>
                <w:rFonts w:ascii="Aptos" w:hAnsi="Aptos"/>
                <w:b w:val="0"/>
                <w:color w:val="1D2433"/>
                <w:sz w:val="15"/>
              </w:rPr>
              <w:t>Issue a household referral link/code that does not expose the referrer identity.</w:t>
            </w:r>
          </w:p>
        </w:tc>
        <w:tc>
          <w:tcPr>
            <w:tcW w:type="dxa" w:w="3060"/>
            <w:vAlign w:val="top"/>
            <w:tcMar>
              <w:top w:w="90" w:type="dxa"/>
              <w:start w:w="120" w:type="dxa"/>
              <w:bottom w:w="90" w:type="dxa"/>
              <w:end w:w="120" w:type="dxa"/>
            </w:tcMar>
          </w:tcPr>
          <w:p>
            <w:pPr>
              <w:spacing w:after="0" w:line="250" w:lineRule="auto"/>
            </w:pPr>
            <w:r/>
            <w:r>
              <w:rPr>
                <w:rFonts w:ascii="Aptos" w:hAnsi="Aptos"/>
                <w:b w:val="0"/>
                <w:color w:val="1D2433"/>
                <w:sz w:val="15"/>
              </w:rPr>
              <w:t>Anonymous/unclaimed referral remains privacy-safe.</w:t>
            </w:r>
          </w:p>
        </w:tc>
      </w:tr>
      <w:tr>
        <w:tc>
          <w:tcPr>
            <w:tcW w:type="dxa" w:w="8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REF-002</w:t>
            </w:r>
          </w:p>
        </w:tc>
        <w:tc>
          <w:tcPr>
            <w:tcW w:type="dxa" w:w="54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Qualify a referral only after the new verified household completes the configured paid attendance condition.</w:t>
            </w:r>
          </w:p>
        </w:tc>
        <w:tc>
          <w:tcPr>
            <w:tcW w:type="dxa" w:w="30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Signup alone never triggers a high-value reward.</w:t>
            </w:r>
          </w:p>
        </w:tc>
      </w:tr>
      <w:tr>
        <w:tc>
          <w:tcPr>
            <w:tcW w:type="dxa" w:w="850"/>
            <w:vAlign w:val="top"/>
            <w:tcMar>
              <w:top w:w="90" w:type="dxa"/>
              <w:start w:w="120" w:type="dxa"/>
              <w:bottom w:w="90" w:type="dxa"/>
              <w:end w:w="120" w:type="dxa"/>
            </w:tcMar>
          </w:tcPr>
          <w:p>
            <w:pPr>
              <w:spacing w:after="0" w:line="250" w:lineRule="auto"/>
            </w:pPr>
            <w:r/>
            <w:r>
              <w:rPr>
                <w:rFonts w:ascii="Aptos" w:hAnsi="Aptos"/>
                <w:b w:val="0"/>
                <w:color w:val="1D2433"/>
                <w:sz w:val="15"/>
              </w:rPr>
              <w:t>REF-003</w:t>
            </w:r>
          </w:p>
        </w:tc>
        <w:tc>
          <w:tcPr>
            <w:tcW w:type="dxa" w:w="5450"/>
            <w:vAlign w:val="top"/>
            <w:tcMar>
              <w:top w:w="90" w:type="dxa"/>
              <w:start w:w="120" w:type="dxa"/>
              <w:bottom w:w="90" w:type="dxa"/>
              <w:end w:w="120" w:type="dxa"/>
            </w:tcMar>
          </w:tcPr>
          <w:p>
            <w:pPr>
              <w:spacing w:after="0" w:line="250" w:lineRule="auto"/>
            </w:pPr>
            <w:r/>
            <w:r>
              <w:rPr>
                <w:rFonts w:ascii="Aptos" w:hAnsi="Aptos"/>
                <w:b w:val="0"/>
                <w:color w:val="1D2433"/>
                <w:sz w:val="15"/>
              </w:rPr>
              <w:t>Detect self-referral and collusion signals across verified contacts, payment token fingerprints, devices, addresses where lawful and booking patterns.</w:t>
            </w:r>
          </w:p>
        </w:tc>
        <w:tc>
          <w:tcPr>
            <w:tcW w:type="dxa" w:w="3060"/>
            <w:vAlign w:val="top"/>
            <w:tcMar>
              <w:top w:w="90" w:type="dxa"/>
              <w:start w:w="120" w:type="dxa"/>
              <w:bottom w:w="90" w:type="dxa"/>
              <w:end w:w="120" w:type="dxa"/>
            </w:tcMar>
          </w:tcPr>
          <w:p>
            <w:pPr>
              <w:spacing w:after="0" w:line="250" w:lineRule="auto"/>
            </w:pPr>
            <w:r/>
            <w:r>
              <w:rPr>
                <w:rFonts w:ascii="Aptos" w:hAnsi="Aptos"/>
                <w:b w:val="0"/>
                <w:color w:val="1D2433"/>
                <w:sz w:val="15"/>
              </w:rPr>
              <w:t>Risk cases are held for review without automatic accusations.</w:t>
            </w:r>
          </w:p>
        </w:tc>
      </w:tr>
      <w:tr>
        <w:tc>
          <w:tcPr>
            <w:tcW w:type="dxa" w:w="8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REF-004</w:t>
            </w:r>
          </w:p>
        </w:tc>
        <w:tc>
          <w:tcPr>
            <w:tcW w:type="dxa" w:w="54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Apply caps, cooling periods, campaign budgets and reversals on refund/chargeback.</w:t>
            </w:r>
          </w:p>
        </w:tc>
        <w:tc>
          <w:tcPr>
            <w:tcW w:type="dxa" w:w="30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Concurrent qualification and reversal tests pass.</w:t>
            </w:r>
          </w:p>
        </w:tc>
      </w:tr>
      <w:tr>
        <w:tc>
          <w:tcPr>
            <w:tcW w:type="dxa" w:w="850"/>
            <w:vAlign w:val="top"/>
            <w:tcMar>
              <w:top w:w="90" w:type="dxa"/>
              <w:start w:w="120" w:type="dxa"/>
              <w:bottom w:w="90" w:type="dxa"/>
              <w:end w:w="120" w:type="dxa"/>
            </w:tcMar>
          </w:tcPr>
          <w:p>
            <w:pPr>
              <w:spacing w:after="0" w:line="250" w:lineRule="auto"/>
            </w:pPr>
            <w:r/>
            <w:r>
              <w:rPr>
                <w:rFonts w:ascii="Aptos" w:hAnsi="Aptos"/>
                <w:b w:val="0"/>
                <w:color w:val="1D2433"/>
                <w:sz w:val="15"/>
              </w:rPr>
              <w:t>REF-005</w:t>
            </w:r>
          </w:p>
        </w:tc>
        <w:tc>
          <w:tcPr>
            <w:tcW w:type="dxa" w:w="5450"/>
            <w:vAlign w:val="top"/>
            <w:tcMar>
              <w:top w:w="90" w:type="dxa"/>
              <w:start w:w="120" w:type="dxa"/>
              <w:bottom w:w="90" w:type="dxa"/>
              <w:end w:w="120" w:type="dxa"/>
            </w:tcMar>
          </w:tcPr>
          <w:p>
            <w:pPr>
              <w:spacing w:after="0" w:line="250" w:lineRule="auto"/>
            </w:pPr>
            <w:r/>
            <w:r>
              <w:rPr>
                <w:rFonts w:ascii="Aptos" w:hAnsi="Aptos"/>
                <w:b w:val="0"/>
                <w:color w:val="1D2433"/>
                <w:sz w:val="15"/>
              </w:rPr>
              <w:t>Provide transparent status to both parties without revealing private transaction details.</w:t>
            </w:r>
          </w:p>
        </w:tc>
        <w:tc>
          <w:tcPr>
            <w:tcW w:type="dxa" w:w="3060"/>
            <w:vAlign w:val="top"/>
            <w:tcMar>
              <w:top w:w="90" w:type="dxa"/>
              <w:start w:w="120" w:type="dxa"/>
              <w:bottom w:w="90" w:type="dxa"/>
              <w:end w:w="120" w:type="dxa"/>
            </w:tcMar>
          </w:tcPr>
          <w:p>
            <w:pPr>
              <w:spacing w:after="0" w:line="250" w:lineRule="auto"/>
            </w:pPr>
            <w:r/>
            <w:r>
              <w:rPr>
                <w:rFonts w:ascii="Aptos" w:hAnsi="Aptos"/>
                <w:b w:val="0"/>
                <w:color w:val="1D2433"/>
                <w:sz w:val="15"/>
              </w:rPr>
              <w:t>Displays “pending/qualified/rewarded/invalid” with safe explanation.</w:t>
            </w:r>
          </w:p>
        </w:tc>
      </w:tr>
    </w:tbl>
    <w:p>
      <w:pPr>
        <w:spacing w:after="20"/>
      </w:pPr>
    </w:p>
    <w:p>
      <w:pPr>
        <w:pStyle w:val="Heading1"/>
        <w:keepNext/>
      </w:pPr>
      <w:r>
        <w:t>11. Staff scanner and park operations</w:t>
      </w:r>
    </w:p>
    <w:p>
      <w:pPr>
        <w:pStyle w:val="Heading2"/>
        <w:keepNext/>
      </w:pPr>
      <w:r>
        <w:t>11.1 Scanner PWA</w:t>
      </w:r>
    </w:p>
    <w:p>
      <w:r>
        <w:rPr>
          <w:rFonts w:ascii="Aptos" w:hAnsi="Aptos"/>
          <w:b w:val="0"/>
          <w:i w:val="0"/>
          <w:color w:val="1D2433"/>
          <w:sz w:val="19"/>
        </w:rPr>
        <w:t>The scanner is a fast, touch-optimised PWA for managed or approved devices. Its default task is scan → validate → show permitted actions → confirm → receipt. Typical completion should require no more than three staff actions after a successful scan.</w:t>
      </w:r>
    </w:p>
    <w:tbl>
      <w:tblPr>
        <w:tblStyle w:val="TableGrid"/>
        <w:tblW w:type="dxa" w:w="9360"/>
        <w:jc w:val="left"/>
        <w:tblLayout w:type="fixed"/>
        <w:tblLook w:firstColumn="1" w:firstRow="1" w:lastColumn="0" w:lastRow="0" w:noHBand="0" w:noVBand="1" w:val="04A0"/>
        <w:tblInd w:w="120" w:type="dxa"/>
      </w:tblPr>
      <w:tblGrid>
        <w:gridCol w:w="850"/>
        <w:gridCol w:w="5450"/>
        <w:gridCol w:w="3060"/>
      </w:tblGrid>
      <w:tr>
        <w:trPr>
          <w:tblHeader w:val="true"/>
        </w:trPr>
        <w:tc>
          <w:tcPr>
            <w:tcW w:type="dxa" w:w="850"/>
            <w:vAlign w:val="center"/>
            <w:shd w:fill="0B2545"/>
            <w:tcMar>
              <w:top w:w="90" w:type="dxa"/>
              <w:start w:w="120" w:type="dxa"/>
              <w:bottom w:w="90" w:type="dxa"/>
              <w:end w:w="120" w:type="dxa"/>
            </w:tcMar>
          </w:tcPr>
          <w:p>
            <w:pPr>
              <w:spacing w:after="0"/>
            </w:pPr>
            <w:r/>
            <w:r>
              <w:rPr>
                <w:rFonts w:ascii="Aptos" w:hAnsi="Aptos"/>
                <w:b/>
                <w:color w:val="FFFFFF"/>
                <w:sz w:val="15"/>
              </w:rPr>
              <w:t>ID</w:t>
            </w:r>
          </w:p>
        </w:tc>
        <w:tc>
          <w:tcPr>
            <w:tcW w:type="dxa" w:w="5450"/>
            <w:shd w:fill="0B2545"/>
            <w:tcMar>
              <w:top w:w="90" w:type="dxa"/>
              <w:start w:w="120" w:type="dxa"/>
              <w:bottom w:w="90" w:type="dxa"/>
              <w:end w:w="120" w:type="dxa"/>
            </w:tcMar>
          </w:tcPr>
          <w:p>
            <w:pPr>
              <w:spacing w:after="0"/>
            </w:pPr>
            <w:r/>
            <w:r>
              <w:rPr>
                <w:rFonts w:ascii="Aptos" w:hAnsi="Aptos"/>
                <w:b/>
                <w:color w:val="FFFFFF"/>
                <w:sz w:val="15"/>
              </w:rPr>
              <w:t>Production requirement</w:t>
            </w:r>
          </w:p>
        </w:tc>
        <w:tc>
          <w:tcPr>
            <w:tcW w:type="dxa" w:w="3060"/>
            <w:shd w:fill="0B2545"/>
            <w:tcMar>
              <w:top w:w="90" w:type="dxa"/>
              <w:start w:w="120" w:type="dxa"/>
              <w:bottom w:w="90" w:type="dxa"/>
              <w:end w:w="120" w:type="dxa"/>
            </w:tcMar>
          </w:tcPr>
          <w:p>
            <w:pPr>
              <w:spacing w:after="0"/>
            </w:pPr>
            <w:r/>
            <w:r>
              <w:rPr>
                <w:rFonts w:ascii="Aptos" w:hAnsi="Aptos"/>
                <w:b/>
                <w:color w:val="FFFFFF"/>
                <w:sz w:val="15"/>
              </w:rPr>
              <w:t>Acceptance evidence</w:t>
            </w:r>
          </w:p>
        </w:tc>
      </w:tr>
      <w:tr>
        <w:tc>
          <w:tcPr>
            <w:tcW w:type="dxa" w:w="850"/>
            <w:vAlign w:val="top"/>
            <w:tcMar>
              <w:top w:w="90" w:type="dxa"/>
              <w:start w:w="120" w:type="dxa"/>
              <w:bottom w:w="90" w:type="dxa"/>
              <w:end w:w="120" w:type="dxa"/>
            </w:tcMar>
          </w:tcPr>
          <w:p>
            <w:pPr>
              <w:spacing w:after="0" w:line="250" w:lineRule="auto"/>
            </w:pPr>
            <w:r/>
            <w:r>
              <w:rPr>
                <w:rFonts w:ascii="Aptos" w:hAnsi="Aptos"/>
                <w:b w:val="0"/>
                <w:color w:val="1D2433"/>
                <w:sz w:val="15"/>
              </w:rPr>
              <w:t>OPS-001</w:t>
            </w:r>
          </w:p>
        </w:tc>
        <w:tc>
          <w:tcPr>
            <w:tcW w:type="dxa" w:w="5450"/>
            <w:vAlign w:val="top"/>
            <w:tcMar>
              <w:top w:w="90" w:type="dxa"/>
              <w:start w:w="120" w:type="dxa"/>
              <w:bottom w:w="90" w:type="dxa"/>
              <w:end w:w="120" w:type="dxa"/>
            </w:tcMar>
          </w:tcPr>
          <w:p>
            <w:pPr>
              <w:spacing w:after="0" w:line="250" w:lineRule="auto"/>
            </w:pPr>
            <w:r/>
            <w:r>
              <w:rPr>
                <w:rFonts w:ascii="Aptos" w:hAnsi="Aptos"/>
                <w:b w:val="0"/>
                <w:color w:val="1D2433"/>
                <w:sz w:val="15"/>
              </w:rPr>
              <w:t>Authenticate individual staff through workforce SSO and bind session to an approved park/device context.</w:t>
            </w:r>
          </w:p>
        </w:tc>
        <w:tc>
          <w:tcPr>
            <w:tcW w:type="dxa" w:w="3060"/>
            <w:vAlign w:val="top"/>
            <w:tcMar>
              <w:top w:w="90" w:type="dxa"/>
              <w:start w:w="120" w:type="dxa"/>
              <w:bottom w:w="90" w:type="dxa"/>
              <w:end w:w="120" w:type="dxa"/>
            </w:tcMar>
          </w:tcPr>
          <w:p>
            <w:pPr>
              <w:spacing w:after="0" w:line="250" w:lineRule="auto"/>
            </w:pPr>
            <w:r/>
            <w:r>
              <w:rPr>
                <w:rFonts w:ascii="Aptos" w:hAnsi="Aptos"/>
                <w:b w:val="0"/>
                <w:color w:val="1D2433"/>
                <w:sz w:val="15"/>
              </w:rPr>
              <w:t>Shared credential and wrong-park tests are denied.</w:t>
            </w:r>
          </w:p>
        </w:tc>
      </w:tr>
      <w:tr>
        <w:tc>
          <w:tcPr>
            <w:tcW w:type="dxa" w:w="8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OPS-002</w:t>
            </w:r>
          </w:p>
        </w:tc>
        <w:tc>
          <w:tcPr>
            <w:tcW w:type="dxa" w:w="54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Scan rotating member QR, reward QR, voucher code and pass credential with clear visual type distinction.</w:t>
            </w:r>
          </w:p>
        </w:tc>
        <w:tc>
          <w:tcPr>
            <w:tcW w:type="dxa" w:w="30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All credential fixtures parse and invalid types fail safely.</w:t>
            </w:r>
          </w:p>
        </w:tc>
      </w:tr>
      <w:tr>
        <w:tc>
          <w:tcPr>
            <w:tcW w:type="dxa" w:w="850"/>
            <w:vAlign w:val="top"/>
            <w:tcMar>
              <w:top w:w="90" w:type="dxa"/>
              <w:start w:w="120" w:type="dxa"/>
              <w:bottom w:w="90" w:type="dxa"/>
              <w:end w:w="120" w:type="dxa"/>
            </w:tcMar>
          </w:tcPr>
          <w:p>
            <w:pPr>
              <w:spacing w:after="0" w:line="250" w:lineRule="auto"/>
            </w:pPr>
            <w:r/>
            <w:r>
              <w:rPr>
                <w:rFonts w:ascii="Aptos" w:hAnsi="Aptos"/>
                <w:b w:val="0"/>
                <w:color w:val="1D2433"/>
                <w:sz w:val="15"/>
              </w:rPr>
              <w:t>OPS-003</w:t>
            </w:r>
          </w:p>
        </w:tc>
        <w:tc>
          <w:tcPr>
            <w:tcW w:type="dxa" w:w="5450"/>
            <w:vAlign w:val="top"/>
            <w:tcMar>
              <w:top w:w="90" w:type="dxa"/>
              <w:start w:w="120" w:type="dxa"/>
              <w:bottom w:w="90" w:type="dxa"/>
              <w:end w:w="120" w:type="dxa"/>
            </w:tcMar>
          </w:tcPr>
          <w:p>
            <w:pPr>
              <w:spacing w:after="0" w:line="250" w:lineRule="auto"/>
            </w:pPr>
            <w:r/>
            <w:r>
              <w:rPr>
                <w:rFonts w:ascii="Aptos" w:hAnsi="Aptos"/>
                <w:b w:val="0"/>
                <w:color w:val="1D2433"/>
                <w:sz w:val="15"/>
              </w:rPr>
              <w:t>Show only minimum customer data and currently valid actions.</w:t>
            </w:r>
          </w:p>
        </w:tc>
        <w:tc>
          <w:tcPr>
            <w:tcW w:type="dxa" w:w="3060"/>
            <w:vAlign w:val="top"/>
            <w:tcMar>
              <w:top w:w="90" w:type="dxa"/>
              <w:start w:w="120" w:type="dxa"/>
              <w:bottom w:w="90" w:type="dxa"/>
              <w:end w:w="120" w:type="dxa"/>
            </w:tcMar>
          </w:tcPr>
          <w:p>
            <w:pPr>
              <w:spacing w:after="0" w:line="250" w:lineRule="auto"/>
            </w:pPr>
            <w:r/>
            <w:r>
              <w:rPr>
                <w:rFonts w:ascii="Aptos" w:hAnsi="Aptos"/>
                <w:b w:val="0"/>
                <w:color w:val="1D2433"/>
                <w:sz w:val="15"/>
              </w:rPr>
              <w:t>Role snapshots demonstrate data minimisation.</w:t>
            </w:r>
          </w:p>
        </w:tc>
      </w:tr>
      <w:tr>
        <w:tc>
          <w:tcPr>
            <w:tcW w:type="dxa" w:w="8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OPS-004</w:t>
            </w:r>
          </w:p>
        </w:tc>
        <w:tc>
          <w:tcPr>
            <w:tcW w:type="dxa" w:w="54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Attribute a completed visit or configured transaction using product/booking context and idempotency.</w:t>
            </w:r>
          </w:p>
        </w:tc>
        <w:tc>
          <w:tcPr>
            <w:tcW w:type="dxa" w:w="30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Duplicate scan and double-tap tests create one event.</w:t>
            </w:r>
          </w:p>
        </w:tc>
      </w:tr>
      <w:tr>
        <w:tc>
          <w:tcPr>
            <w:tcW w:type="dxa" w:w="850"/>
            <w:vAlign w:val="top"/>
            <w:tcMar>
              <w:top w:w="90" w:type="dxa"/>
              <w:start w:w="120" w:type="dxa"/>
              <w:bottom w:w="90" w:type="dxa"/>
              <w:end w:w="120" w:type="dxa"/>
            </w:tcMar>
          </w:tcPr>
          <w:p>
            <w:pPr>
              <w:spacing w:after="0" w:line="250" w:lineRule="auto"/>
            </w:pPr>
            <w:r/>
            <w:r>
              <w:rPr>
                <w:rFonts w:ascii="Aptos" w:hAnsi="Aptos"/>
                <w:b w:val="0"/>
                <w:color w:val="1D2433"/>
                <w:sz w:val="15"/>
              </w:rPr>
              <w:t>OPS-005</w:t>
            </w:r>
          </w:p>
        </w:tc>
        <w:tc>
          <w:tcPr>
            <w:tcW w:type="dxa" w:w="5450"/>
            <w:vAlign w:val="top"/>
            <w:tcMar>
              <w:top w:w="90" w:type="dxa"/>
              <w:start w:w="120" w:type="dxa"/>
              <w:bottom w:w="90" w:type="dxa"/>
              <w:end w:w="120" w:type="dxa"/>
            </w:tcMar>
          </w:tcPr>
          <w:p>
            <w:pPr>
              <w:spacing w:after="0" w:line="250" w:lineRule="auto"/>
            </w:pPr>
            <w:r/>
            <w:r>
              <w:rPr>
                <w:rFonts w:ascii="Aptos" w:hAnsi="Aptos"/>
                <w:b w:val="0"/>
                <w:color w:val="1D2433"/>
                <w:sz w:val="15"/>
              </w:rPr>
              <w:t>Redeem reward/voucher/pass atomically and return a signed success receipt.</w:t>
            </w:r>
          </w:p>
        </w:tc>
        <w:tc>
          <w:tcPr>
            <w:tcW w:type="dxa" w:w="3060"/>
            <w:vAlign w:val="top"/>
            <w:tcMar>
              <w:top w:w="90" w:type="dxa"/>
              <w:start w:w="120" w:type="dxa"/>
              <w:bottom w:w="90" w:type="dxa"/>
              <w:end w:w="120" w:type="dxa"/>
            </w:tcMar>
          </w:tcPr>
          <w:p>
            <w:pPr>
              <w:spacing w:after="0" w:line="250" w:lineRule="auto"/>
            </w:pPr>
            <w:r/>
            <w:r>
              <w:rPr>
                <w:rFonts w:ascii="Aptos" w:hAnsi="Aptos"/>
                <w:b w:val="0"/>
                <w:color w:val="1D2433"/>
                <w:sz w:val="15"/>
              </w:rPr>
              <w:t>Concurrent scanners cannot redeem same value twice.</w:t>
            </w:r>
          </w:p>
        </w:tc>
      </w:tr>
      <w:tr>
        <w:tc>
          <w:tcPr>
            <w:tcW w:type="dxa" w:w="8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OPS-006</w:t>
            </w:r>
          </w:p>
        </w:tc>
        <w:tc>
          <w:tcPr>
            <w:tcW w:type="dxa" w:w="54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Require manager step-up for configured exceptions, reversals and high-value/manual actions.</w:t>
            </w:r>
          </w:p>
        </w:tc>
        <w:tc>
          <w:tcPr>
            <w:tcW w:type="dxa" w:w="30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Approval is separate actor and recorded.</w:t>
            </w:r>
          </w:p>
        </w:tc>
      </w:tr>
      <w:tr>
        <w:tc>
          <w:tcPr>
            <w:tcW w:type="dxa" w:w="850"/>
            <w:vAlign w:val="top"/>
            <w:tcMar>
              <w:top w:w="90" w:type="dxa"/>
              <w:start w:w="120" w:type="dxa"/>
              <w:bottom w:w="90" w:type="dxa"/>
              <w:end w:w="120" w:type="dxa"/>
            </w:tcMar>
          </w:tcPr>
          <w:p>
            <w:pPr>
              <w:spacing w:after="0" w:line="250" w:lineRule="auto"/>
            </w:pPr>
            <w:r/>
            <w:r>
              <w:rPr>
                <w:rFonts w:ascii="Aptos" w:hAnsi="Aptos"/>
                <w:b w:val="0"/>
                <w:color w:val="1D2433"/>
                <w:sz w:val="15"/>
              </w:rPr>
              <w:t>OPS-007</w:t>
            </w:r>
          </w:p>
        </w:tc>
        <w:tc>
          <w:tcPr>
            <w:tcW w:type="dxa" w:w="5450"/>
            <w:vAlign w:val="top"/>
            <w:tcMar>
              <w:top w:w="90" w:type="dxa"/>
              <w:start w:w="120" w:type="dxa"/>
              <w:bottom w:w="90" w:type="dxa"/>
              <w:end w:w="120" w:type="dxa"/>
            </w:tcMar>
          </w:tcPr>
          <w:p>
            <w:pPr>
              <w:spacing w:after="0" w:line="250" w:lineRule="auto"/>
            </w:pPr>
            <w:r/>
            <w:r>
              <w:rPr>
                <w:rFonts w:ascii="Aptos" w:hAnsi="Aptos"/>
                <w:b w:val="0"/>
                <w:color w:val="1D2433"/>
                <w:sz w:val="15"/>
              </w:rPr>
              <w:t>Display actionable denial reasons that do not leak anti-fraud details.</w:t>
            </w:r>
          </w:p>
        </w:tc>
        <w:tc>
          <w:tcPr>
            <w:tcW w:type="dxa" w:w="3060"/>
            <w:vAlign w:val="top"/>
            <w:tcMar>
              <w:top w:w="90" w:type="dxa"/>
              <w:start w:w="120" w:type="dxa"/>
              <w:bottom w:w="90" w:type="dxa"/>
              <w:end w:w="120" w:type="dxa"/>
            </w:tcMar>
          </w:tcPr>
          <w:p>
            <w:pPr>
              <w:spacing w:after="0" w:line="250" w:lineRule="auto"/>
            </w:pPr>
            <w:r/>
            <w:r>
              <w:rPr>
                <w:rFonts w:ascii="Aptos" w:hAnsi="Aptos"/>
                <w:b w:val="0"/>
                <w:color w:val="1D2433"/>
                <w:sz w:val="15"/>
              </w:rPr>
              <w:t>Staff usability test resolves common denial cases.</w:t>
            </w:r>
          </w:p>
        </w:tc>
      </w:tr>
    </w:tbl>
    <w:p>
      <w:pPr>
        <w:spacing w:after="20"/>
      </w:pPr>
    </w:p>
    <w:p>
      <w:pPr>
        <w:pStyle w:val="Heading2"/>
        <w:keepNext/>
      </w:pPr>
      <w:r>
        <w:t>11.2 Offline and degraded operation</w:t>
      </w:r>
    </w:p>
    <w:p>
      <w:r>
        <w:rPr>
          <w:rFonts w:ascii="Aptos" w:hAnsi="Aptos"/>
          <w:b w:val="0"/>
          <w:i w:val="0"/>
          <w:color w:val="1D2433"/>
          <w:sz w:val="19"/>
        </w:rPr>
        <w:t>Internet loss cannot be treated as permission to trust unlimited cached value. Offline operation must be explicitly bounded by device, park, instrument type, amount/risk, cache freshness and duration. Monetary gift value and high-value rewards should default to online-only unless a finance-approved offline risk envelope is configured.</w:t>
      </w:r>
    </w:p>
    <w:p>
      <w:pPr>
        <w:pStyle w:val="ListBullet"/>
      </w:pPr>
      <w:r>
        <w:rPr>
          <w:rFonts w:ascii="Aptos" w:hAnsi="Aptos"/>
          <w:b w:val="0"/>
          <w:color w:val="1D2433"/>
          <w:sz w:val="19"/>
        </w:rPr>
        <w:t>Pre-authorised offline entitlements use short-lived signed grants with unique nonces.</w:t>
      </w:r>
    </w:p>
    <w:p>
      <w:pPr>
        <w:pStyle w:val="ListBullet"/>
      </w:pPr>
      <w:r>
        <w:rPr>
          <w:rFonts w:ascii="Aptos" w:hAnsi="Aptos"/>
          <w:b w:val="0"/>
          <w:color w:val="1D2433"/>
          <w:sz w:val="19"/>
        </w:rPr>
        <w:t>Offline scans are append-only on encrypted device storage and synchronise automatically.</w:t>
      </w:r>
    </w:p>
    <w:p>
      <w:pPr>
        <w:pStyle w:val="ListBullet"/>
      </w:pPr>
      <w:r>
        <w:rPr>
          <w:rFonts w:ascii="Aptos" w:hAnsi="Aptos"/>
          <w:b w:val="0"/>
          <w:color w:val="1D2433"/>
          <w:sz w:val="19"/>
        </w:rPr>
        <w:t>The device shows clear offline state and action limits.</w:t>
      </w:r>
    </w:p>
    <w:p>
      <w:pPr>
        <w:pStyle w:val="ListBullet"/>
      </w:pPr>
      <w:r>
        <w:rPr>
          <w:rFonts w:ascii="Aptos" w:hAnsi="Aptos"/>
          <w:b w:val="0"/>
          <w:color w:val="1D2433"/>
          <w:sz w:val="19"/>
        </w:rPr>
        <w:t>Conflicts create reconciliation cases; the system never hides negative inventory or double use.</w:t>
      </w:r>
    </w:p>
    <w:p>
      <w:pPr>
        <w:pStyle w:val="ListBullet"/>
      </w:pPr>
      <w:r>
        <w:rPr>
          <w:rFonts w:ascii="Aptos" w:hAnsi="Aptos"/>
          <w:b w:val="0"/>
          <w:color w:val="1D2433"/>
          <w:sz w:val="19"/>
        </w:rPr>
        <w:t>Security can remotely revoke a device; local grants expire rapidly.</w:t>
      </w:r>
    </w:p>
    <w:p>
      <w:pPr>
        <w:pStyle w:val="Heading2"/>
        <w:keepNext/>
      </w:pPr>
      <w:r>
        <w:t>11.3 Daily operational controls</w:t>
      </w:r>
    </w:p>
    <w:p>
      <w:pPr>
        <w:pStyle w:val="ListBullet"/>
      </w:pPr>
      <w:r>
        <w:rPr>
          <w:rFonts w:ascii="Aptos" w:hAnsi="Aptos"/>
          <w:b w:val="0"/>
          <w:color w:val="1D2433"/>
          <w:sz w:val="19"/>
        </w:rPr>
        <w:t>Opening device health and clock-sync check.</w:t>
      </w:r>
    </w:p>
    <w:p>
      <w:pPr>
        <w:pStyle w:val="ListBullet"/>
      </w:pPr>
      <w:r>
        <w:rPr>
          <w:rFonts w:ascii="Aptos" w:hAnsi="Aptos"/>
          <w:b w:val="0"/>
          <w:color w:val="1D2433"/>
          <w:sz w:val="19"/>
        </w:rPr>
        <w:t>Park-specific active product/reward configuration validation.</w:t>
      </w:r>
    </w:p>
    <w:p>
      <w:pPr>
        <w:pStyle w:val="ListBullet"/>
      </w:pPr>
      <w:r>
        <w:rPr>
          <w:rFonts w:ascii="Aptos" w:hAnsi="Aptos"/>
          <w:b w:val="0"/>
          <w:color w:val="1D2433"/>
          <w:sz w:val="19"/>
        </w:rPr>
        <w:t>Shift-level redemption and manual-action summary.</w:t>
      </w:r>
    </w:p>
    <w:p>
      <w:pPr>
        <w:pStyle w:val="ListBullet"/>
      </w:pPr>
      <w:r>
        <w:rPr>
          <w:rFonts w:ascii="Aptos" w:hAnsi="Aptos"/>
          <w:b w:val="0"/>
          <w:color w:val="1D2433"/>
          <w:sz w:val="19"/>
        </w:rPr>
        <w:t>Unreconciled/offline queue visible to park manager.</w:t>
      </w:r>
    </w:p>
    <w:p>
      <w:pPr>
        <w:pStyle w:val="ListBullet"/>
      </w:pPr>
      <w:r>
        <w:rPr>
          <w:rFonts w:ascii="Aptos" w:hAnsi="Aptos"/>
          <w:b w:val="0"/>
          <w:color w:val="1D2433"/>
          <w:sz w:val="19"/>
        </w:rPr>
        <w:t>End-of-day comparison of source transactions, visits, value movements and payment settlements.</w:t>
      </w:r>
    </w:p>
    <w:p>
      <w:pPr>
        <w:pStyle w:val="ListBullet"/>
      </w:pPr>
      <w:r>
        <w:rPr>
          <w:rFonts w:ascii="Aptos" w:hAnsi="Aptos"/>
          <w:b w:val="0"/>
          <w:color w:val="1D2433"/>
          <w:sz w:val="19"/>
        </w:rPr>
        <w:t>Exception cases assigned with owner, SLA and resolution evidence.</w:t>
      </w:r>
    </w:p>
    <w:p>
      <w:pPr>
        <w:pStyle w:val="Heading1"/>
        <w:keepNext/>
      </w:pPr>
      <w:r>
        <w:t>12. Campaigns, segmentation and communications</w:t>
      </w:r>
    </w:p>
    <w:p>
      <w:pPr>
        <w:pStyle w:val="Heading2"/>
        <w:keepNext/>
      </w:pPr>
      <w:r>
        <w:t>12.1 Segmentation</w:t>
      </w:r>
    </w:p>
    <w:tbl>
      <w:tblPr>
        <w:tblStyle w:val="TableGrid"/>
        <w:tblW w:type="dxa" w:w="9360"/>
        <w:jc w:val="left"/>
        <w:tblLayout w:type="fixed"/>
        <w:tblLook w:firstColumn="1" w:firstRow="1" w:lastColumn="0" w:lastRow="0" w:noHBand="0" w:noVBand="1" w:val="04A0"/>
        <w:tblInd w:w="120" w:type="dxa"/>
      </w:tblPr>
      <w:tblGrid>
        <w:gridCol w:w="850"/>
        <w:gridCol w:w="5450"/>
        <w:gridCol w:w="3060"/>
      </w:tblGrid>
      <w:tr>
        <w:trPr>
          <w:tblHeader w:val="true"/>
        </w:trPr>
        <w:tc>
          <w:tcPr>
            <w:tcW w:type="dxa" w:w="850"/>
            <w:vAlign w:val="center"/>
            <w:shd w:fill="0B2545"/>
            <w:tcMar>
              <w:top w:w="90" w:type="dxa"/>
              <w:start w:w="120" w:type="dxa"/>
              <w:bottom w:w="90" w:type="dxa"/>
              <w:end w:w="120" w:type="dxa"/>
            </w:tcMar>
          </w:tcPr>
          <w:p>
            <w:pPr>
              <w:spacing w:after="0"/>
            </w:pPr>
            <w:r/>
            <w:r>
              <w:rPr>
                <w:rFonts w:ascii="Aptos" w:hAnsi="Aptos"/>
                <w:b/>
                <w:color w:val="FFFFFF"/>
                <w:sz w:val="15"/>
              </w:rPr>
              <w:t>ID</w:t>
            </w:r>
          </w:p>
        </w:tc>
        <w:tc>
          <w:tcPr>
            <w:tcW w:type="dxa" w:w="5450"/>
            <w:shd w:fill="0B2545"/>
            <w:tcMar>
              <w:top w:w="90" w:type="dxa"/>
              <w:start w:w="120" w:type="dxa"/>
              <w:bottom w:w="90" w:type="dxa"/>
              <w:end w:w="120" w:type="dxa"/>
            </w:tcMar>
          </w:tcPr>
          <w:p>
            <w:pPr>
              <w:spacing w:after="0"/>
            </w:pPr>
            <w:r/>
            <w:r>
              <w:rPr>
                <w:rFonts w:ascii="Aptos" w:hAnsi="Aptos"/>
                <w:b/>
                <w:color w:val="FFFFFF"/>
                <w:sz w:val="15"/>
              </w:rPr>
              <w:t>Production requirement</w:t>
            </w:r>
          </w:p>
        </w:tc>
        <w:tc>
          <w:tcPr>
            <w:tcW w:type="dxa" w:w="3060"/>
            <w:shd w:fill="0B2545"/>
            <w:tcMar>
              <w:top w:w="90" w:type="dxa"/>
              <w:start w:w="120" w:type="dxa"/>
              <w:bottom w:w="90" w:type="dxa"/>
              <w:end w:w="120" w:type="dxa"/>
            </w:tcMar>
          </w:tcPr>
          <w:p>
            <w:pPr>
              <w:spacing w:after="0"/>
            </w:pPr>
            <w:r/>
            <w:r>
              <w:rPr>
                <w:rFonts w:ascii="Aptos" w:hAnsi="Aptos"/>
                <w:b/>
                <w:color w:val="FFFFFF"/>
                <w:sz w:val="15"/>
              </w:rPr>
              <w:t>Acceptance evidence</w:t>
            </w:r>
          </w:p>
        </w:tc>
      </w:tr>
      <w:tr>
        <w:tc>
          <w:tcPr>
            <w:tcW w:type="dxa" w:w="850"/>
            <w:vAlign w:val="top"/>
            <w:tcMar>
              <w:top w:w="90" w:type="dxa"/>
              <w:start w:w="120" w:type="dxa"/>
              <w:bottom w:w="90" w:type="dxa"/>
              <w:end w:w="120" w:type="dxa"/>
            </w:tcMar>
          </w:tcPr>
          <w:p>
            <w:pPr>
              <w:spacing w:after="0" w:line="250" w:lineRule="auto"/>
            </w:pPr>
            <w:r/>
            <w:r>
              <w:rPr>
                <w:rFonts w:ascii="Aptos" w:hAnsi="Aptos"/>
                <w:b w:val="0"/>
                <w:color w:val="1D2433"/>
                <w:sz w:val="15"/>
              </w:rPr>
              <w:t>SEG-001</w:t>
            </w:r>
          </w:p>
        </w:tc>
        <w:tc>
          <w:tcPr>
            <w:tcW w:type="dxa" w:w="5450"/>
            <w:vAlign w:val="top"/>
            <w:tcMar>
              <w:top w:w="90" w:type="dxa"/>
              <w:start w:w="120" w:type="dxa"/>
              <w:bottom w:w="90" w:type="dxa"/>
              <w:end w:w="120" w:type="dxa"/>
            </w:tcMar>
          </w:tcPr>
          <w:p>
            <w:pPr>
              <w:spacing w:after="0" w:line="250" w:lineRule="auto"/>
            </w:pPr>
            <w:r/>
            <w:r>
              <w:rPr>
                <w:rFonts w:ascii="Aptos" w:hAnsi="Aptos"/>
                <w:b w:val="0"/>
                <w:color w:val="1D2433"/>
                <w:sz w:val="15"/>
              </w:rPr>
              <w:t>Build segments from approved adult/household, park, product, visit, booking, loyalty, membership, voucher, campaign and consent attributes.</w:t>
            </w:r>
          </w:p>
        </w:tc>
        <w:tc>
          <w:tcPr>
            <w:tcW w:type="dxa" w:w="3060"/>
            <w:vAlign w:val="top"/>
            <w:tcMar>
              <w:top w:w="90" w:type="dxa"/>
              <w:start w:w="120" w:type="dxa"/>
              <w:bottom w:w="90" w:type="dxa"/>
              <w:end w:w="120" w:type="dxa"/>
            </w:tcMar>
          </w:tcPr>
          <w:p>
            <w:pPr>
              <w:spacing w:after="0" w:line="250" w:lineRule="auto"/>
            </w:pPr>
            <w:r/>
            <w:r>
              <w:rPr>
                <w:rFonts w:ascii="Aptos" w:hAnsi="Aptos"/>
                <w:b w:val="0"/>
                <w:color w:val="1D2433"/>
                <w:sz w:val="15"/>
              </w:rPr>
              <w:t>Query catalogue and data-classification tests pass.</w:t>
            </w:r>
          </w:p>
        </w:tc>
      </w:tr>
      <w:tr>
        <w:tc>
          <w:tcPr>
            <w:tcW w:type="dxa" w:w="8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SEG-002</w:t>
            </w:r>
          </w:p>
        </w:tc>
        <w:tc>
          <w:tcPr>
            <w:tcW w:type="dxa" w:w="54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Prohibit direct child-targeting fields in the standard marketing segment builder.</w:t>
            </w:r>
          </w:p>
        </w:tc>
        <w:tc>
          <w:tcPr>
            <w:tcW w:type="dxa" w:w="30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Permission and schema tests enforce restriction.</w:t>
            </w:r>
          </w:p>
        </w:tc>
      </w:tr>
      <w:tr>
        <w:tc>
          <w:tcPr>
            <w:tcW w:type="dxa" w:w="850"/>
            <w:vAlign w:val="top"/>
            <w:tcMar>
              <w:top w:w="90" w:type="dxa"/>
              <w:start w:w="120" w:type="dxa"/>
              <w:bottom w:w="90" w:type="dxa"/>
              <w:end w:w="120" w:type="dxa"/>
            </w:tcMar>
          </w:tcPr>
          <w:p>
            <w:pPr>
              <w:spacing w:after="0" w:line="250" w:lineRule="auto"/>
            </w:pPr>
            <w:r/>
            <w:r>
              <w:rPr>
                <w:rFonts w:ascii="Aptos" w:hAnsi="Aptos"/>
                <w:b w:val="0"/>
                <w:color w:val="1D2433"/>
                <w:sz w:val="15"/>
              </w:rPr>
              <w:t>SEG-003</w:t>
            </w:r>
          </w:p>
        </w:tc>
        <w:tc>
          <w:tcPr>
            <w:tcW w:type="dxa" w:w="5450"/>
            <w:vAlign w:val="top"/>
            <w:tcMar>
              <w:top w:w="90" w:type="dxa"/>
              <w:start w:w="120" w:type="dxa"/>
              <w:bottom w:w="90" w:type="dxa"/>
              <w:end w:w="120" w:type="dxa"/>
            </w:tcMar>
          </w:tcPr>
          <w:p>
            <w:pPr>
              <w:spacing w:after="0" w:line="250" w:lineRule="auto"/>
            </w:pPr>
            <w:r/>
            <w:r>
              <w:rPr>
                <w:rFonts w:ascii="Aptos" w:hAnsi="Aptos"/>
                <w:b w:val="0"/>
                <w:color w:val="1D2433"/>
                <w:sz w:val="15"/>
              </w:rPr>
              <w:t>Provide estimated audience, reachable audience, exclusions, overlap and cost before activation.</w:t>
            </w:r>
          </w:p>
        </w:tc>
        <w:tc>
          <w:tcPr>
            <w:tcW w:type="dxa" w:w="3060"/>
            <w:vAlign w:val="top"/>
            <w:tcMar>
              <w:top w:w="90" w:type="dxa"/>
              <w:start w:w="120" w:type="dxa"/>
              <w:bottom w:w="90" w:type="dxa"/>
              <w:end w:w="120" w:type="dxa"/>
            </w:tcMar>
          </w:tcPr>
          <w:p>
            <w:pPr>
              <w:spacing w:after="0" w:line="250" w:lineRule="auto"/>
            </w:pPr>
            <w:r/>
            <w:r>
              <w:rPr>
                <w:rFonts w:ascii="Aptos" w:hAnsi="Aptos"/>
                <w:b w:val="0"/>
                <w:color w:val="1D2433"/>
                <w:sz w:val="15"/>
              </w:rPr>
              <w:t>Preview reconciles to snapshot within tolerance.</w:t>
            </w:r>
          </w:p>
        </w:tc>
      </w:tr>
      <w:tr>
        <w:tc>
          <w:tcPr>
            <w:tcW w:type="dxa" w:w="8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SEG-004</w:t>
            </w:r>
          </w:p>
        </w:tc>
        <w:tc>
          <w:tcPr>
            <w:tcW w:type="dxa" w:w="54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Persist immutable audience snapshots for each send/experiment.</w:t>
            </w:r>
          </w:p>
        </w:tc>
        <w:tc>
          <w:tcPr>
            <w:tcW w:type="dxa" w:w="30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Historical campaign can reproduce recipients and exclusions.</w:t>
            </w:r>
          </w:p>
        </w:tc>
      </w:tr>
      <w:tr>
        <w:tc>
          <w:tcPr>
            <w:tcW w:type="dxa" w:w="850"/>
            <w:vAlign w:val="top"/>
            <w:tcMar>
              <w:top w:w="90" w:type="dxa"/>
              <w:start w:w="120" w:type="dxa"/>
              <w:bottom w:w="90" w:type="dxa"/>
              <w:end w:w="120" w:type="dxa"/>
            </w:tcMar>
          </w:tcPr>
          <w:p>
            <w:pPr>
              <w:spacing w:after="0" w:line="250" w:lineRule="auto"/>
            </w:pPr>
            <w:r/>
            <w:r>
              <w:rPr>
                <w:rFonts w:ascii="Aptos" w:hAnsi="Aptos"/>
                <w:b w:val="0"/>
                <w:color w:val="1D2433"/>
                <w:sz w:val="15"/>
              </w:rPr>
              <w:t>SEG-005</w:t>
            </w:r>
          </w:p>
        </w:tc>
        <w:tc>
          <w:tcPr>
            <w:tcW w:type="dxa" w:w="5450"/>
            <w:vAlign w:val="top"/>
            <w:tcMar>
              <w:top w:w="90" w:type="dxa"/>
              <w:start w:w="120" w:type="dxa"/>
              <w:bottom w:w="90" w:type="dxa"/>
              <w:end w:w="120" w:type="dxa"/>
            </w:tcMar>
          </w:tcPr>
          <w:p>
            <w:pPr>
              <w:spacing w:after="0" w:line="250" w:lineRule="auto"/>
            </w:pPr>
            <w:r/>
            <w:r>
              <w:rPr>
                <w:rFonts w:ascii="Aptos" w:hAnsi="Aptos"/>
                <w:b w:val="0"/>
                <w:color w:val="1D2433"/>
                <w:sz w:val="15"/>
              </w:rPr>
              <w:t>Support dynamic journey membership and one-time static campaigns.</w:t>
            </w:r>
          </w:p>
        </w:tc>
        <w:tc>
          <w:tcPr>
            <w:tcW w:type="dxa" w:w="3060"/>
            <w:vAlign w:val="top"/>
            <w:tcMar>
              <w:top w:w="90" w:type="dxa"/>
              <w:start w:w="120" w:type="dxa"/>
              <w:bottom w:w="90" w:type="dxa"/>
              <w:end w:w="120" w:type="dxa"/>
            </w:tcMar>
          </w:tcPr>
          <w:p>
            <w:pPr>
              <w:spacing w:after="0" w:line="250" w:lineRule="auto"/>
            </w:pPr>
            <w:r/>
            <w:r>
              <w:rPr>
                <w:rFonts w:ascii="Aptos" w:hAnsi="Aptos"/>
                <w:b w:val="0"/>
                <w:color w:val="1D2433"/>
                <w:sz w:val="15"/>
              </w:rPr>
              <w:t>Entry/exit conditions are idempotent.</w:t>
            </w:r>
          </w:p>
        </w:tc>
      </w:tr>
    </w:tbl>
    <w:p>
      <w:pPr>
        <w:spacing w:after="20"/>
      </w:pPr>
    </w:p>
    <w:p>
      <w:pPr>
        <w:pStyle w:val="Heading2"/>
        <w:keepNext/>
      </w:pPr>
      <w:r>
        <w:t>12.2 Journey engine</w:t>
      </w:r>
    </w:p>
    <w:p>
      <w:r>
        <w:rPr>
          <w:rFonts w:ascii="Aptos" w:hAnsi="Aptos"/>
          <w:b w:val="0"/>
          <w:i w:val="0"/>
          <w:color w:val="1D2433"/>
          <w:sz w:val="19"/>
        </w:rPr>
        <w:t>A journey is a versioned state machine triggered by events, schedules or segment membership. It supports waits, conditions, frequency checks, experiments, channel selection, reward issuance, webhooks, stop conditions and human approval. Every participant has one visible journey state and history.</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vAlign w:val="center"/>
            <w:shd w:fill="0B2545"/>
            <w:tcMar>
              <w:top w:w="90" w:type="dxa"/>
              <w:start w:w="120" w:type="dxa"/>
              <w:bottom w:w="90" w:type="dxa"/>
              <w:end w:w="120" w:type="dxa"/>
            </w:tcMar>
          </w:tcPr>
          <w:p>
            <w:pPr>
              <w:spacing w:after="0"/>
            </w:pPr>
            <w:r/>
            <w:r>
              <w:rPr>
                <w:rFonts w:ascii="Aptos" w:hAnsi="Aptos"/>
                <w:b/>
                <w:color w:val="FFFFFF"/>
                <w:sz w:val="15"/>
              </w:rPr>
              <w:t>Required journey</w:t>
            </w:r>
          </w:p>
        </w:tc>
        <w:tc>
          <w:tcPr>
            <w:tcW w:type="dxa" w:w="7160"/>
            <w:shd w:fill="0B2545"/>
            <w:tcMar>
              <w:top w:w="90" w:type="dxa"/>
              <w:start w:w="120" w:type="dxa"/>
              <w:bottom w:w="90" w:type="dxa"/>
              <w:end w:w="120" w:type="dxa"/>
            </w:tcMar>
          </w:tcPr>
          <w:p>
            <w:pPr>
              <w:spacing w:after="0"/>
            </w:pPr>
            <w:r/>
            <w:r>
              <w:rPr>
                <w:rFonts w:ascii="Aptos" w:hAnsi="Aptos"/>
                <w:b/>
                <w:color w:val="FFFFFF"/>
                <w:sz w:val="15"/>
              </w:rPr>
              <w:t>Default trigger and purpose</w:t>
            </w:r>
          </w:p>
        </w:tc>
      </w:tr>
      <w:tr>
        <w:tc>
          <w:tcPr>
            <w:tcW w:type="dxa" w:w="2200"/>
            <w:vAlign w:val="top"/>
            <w:tcMar>
              <w:top w:w="90" w:type="dxa"/>
              <w:start w:w="120" w:type="dxa"/>
              <w:bottom w:w="90" w:type="dxa"/>
              <w:end w:w="120" w:type="dxa"/>
            </w:tcMar>
          </w:tcPr>
          <w:p>
            <w:pPr>
              <w:spacing w:after="0" w:line="250" w:lineRule="auto"/>
            </w:pPr>
            <w:r/>
            <w:r>
              <w:rPr>
                <w:rFonts w:ascii="Aptos" w:hAnsi="Aptos"/>
                <w:b w:val="0"/>
                <w:color w:val="1D2433"/>
                <w:sz w:val="15"/>
              </w:rPr>
              <w:t>Welcome/activation</w:t>
            </w:r>
          </w:p>
        </w:tc>
        <w:tc>
          <w:tcPr>
            <w:tcW w:type="dxa" w:w="7160"/>
            <w:vAlign w:val="top"/>
            <w:tcMar>
              <w:top w:w="90" w:type="dxa"/>
              <w:start w:w="120" w:type="dxa"/>
              <w:bottom w:w="90" w:type="dxa"/>
              <w:end w:w="120" w:type="dxa"/>
            </w:tcMar>
          </w:tcPr>
          <w:p>
            <w:pPr>
              <w:spacing w:after="0" w:line="250" w:lineRule="auto"/>
            </w:pPr>
            <w:r/>
            <w:r>
              <w:rPr>
                <w:rFonts w:ascii="Aptos" w:hAnsi="Aptos"/>
                <w:b w:val="0"/>
                <w:color w:val="1D2433"/>
                <w:sz w:val="15"/>
              </w:rPr>
              <w:t>Verified adult account; explain card and first useful action.</w:t>
            </w:r>
          </w:p>
        </w:tc>
      </w:tr>
      <w:tr>
        <w:tc>
          <w:tcPr>
            <w:tcW w:type="dxa" w:w="22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Post-visit</w:t>
            </w:r>
          </w:p>
        </w:tc>
        <w:tc>
          <w:tcPr>
            <w:tcW w:type="dxa" w:w="71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Completed visit; receipt/status, feedback and relevant next action.</w:t>
            </w:r>
          </w:p>
        </w:tc>
      </w:tr>
      <w:tr>
        <w:tc>
          <w:tcPr>
            <w:tcW w:type="dxa" w:w="2200"/>
            <w:vAlign w:val="top"/>
            <w:tcMar>
              <w:top w:w="90" w:type="dxa"/>
              <w:start w:w="120" w:type="dxa"/>
              <w:bottom w:w="90" w:type="dxa"/>
              <w:end w:w="120" w:type="dxa"/>
            </w:tcMar>
          </w:tcPr>
          <w:p>
            <w:pPr>
              <w:spacing w:after="0" w:line="250" w:lineRule="auto"/>
            </w:pPr>
            <w:r/>
            <w:r>
              <w:rPr>
                <w:rFonts w:ascii="Aptos" w:hAnsi="Aptos"/>
                <w:b w:val="0"/>
                <w:color w:val="1D2433"/>
                <w:sz w:val="15"/>
              </w:rPr>
              <w:t>Birthday planning</w:t>
            </w:r>
          </w:p>
        </w:tc>
        <w:tc>
          <w:tcPr>
            <w:tcW w:type="dxa" w:w="7160"/>
            <w:vAlign w:val="top"/>
            <w:tcMar>
              <w:top w:w="90" w:type="dxa"/>
              <w:start w:w="120" w:type="dxa"/>
              <w:bottom w:w="90" w:type="dxa"/>
              <w:end w:w="120" w:type="dxa"/>
            </w:tcMar>
          </w:tcPr>
          <w:p>
            <w:pPr>
              <w:spacing w:after="0" w:line="250" w:lineRule="auto"/>
            </w:pPr>
            <w:r/>
            <w:r>
              <w:rPr>
                <w:rFonts w:ascii="Aptos" w:hAnsi="Aptos"/>
                <w:b w:val="0"/>
                <w:color w:val="1D2433"/>
                <w:sz w:val="15"/>
              </w:rPr>
              <w:t>Configurable lead time before dependant/adult birthday; address authorised adult.</w:t>
            </w:r>
          </w:p>
        </w:tc>
      </w:tr>
      <w:tr>
        <w:tc>
          <w:tcPr>
            <w:tcW w:type="dxa" w:w="22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Party lead nurturing</w:t>
            </w:r>
          </w:p>
        </w:tc>
        <w:tc>
          <w:tcPr>
            <w:tcW w:type="dxa" w:w="71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Expressed interest or eligible behaviour; useful planning sequence with suppression after booking.</w:t>
            </w:r>
          </w:p>
        </w:tc>
      </w:tr>
      <w:tr>
        <w:tc>
          <w:tcPr>
            <w:tcW w:type="dxa" w:w="2200"/>
            <w:vAlign w:val="top"/>
            <w:tcMar>
              <w:top w:w="90" w:type="dxa"/>
              <w:start w:w="120" w:type="dxa"/>
              <w:bottom w:w="90" w:type="dxa"/>
              <w:end w:w="120" w:type="dxa"/>
            </w:tcMar>
          </w:tcPr>
          <w:p>
            <w:pPr>
              <w:spacing w:after="0" w:line="250" w:lineRule="auto"/>
            </w:pPr>
            <w:r/>
            <w:r>
              <w:rPr>
                <w:rFonts w:ascii="Aptos" w:hAnsi="Aptos"/>
                <w:b w:val="0"/>
                <w:color w:val="1D2433"/>
                <w:sz w:val="15"/>
              </w:rPr>
              <w:t>Camp lifecycle</w:t>
            </w:r>
          </w:p>
        </w:tc>
        <w:tc>
          <w:tcPr>
            <w:tcW w:type="dxa" w:w="7160"/>
            <w:vAlign w:val="top"/>
            <w:tcMar>
              <w:top w:w="90" w:type="dxa"/>
              <w:start w:w="120" w:type="dxa"/>
              <w:bottom w:w="90" w:type="dxa"/>
              <w:end w:w="120" w:type="dxa"/>
            </w:tcMar>
          </w:tcPr>
          <w:p>
            <w:pPr>
              <w:spacing w:after="0" w:line="250" w:lineRule="auto"/>
            </w:pPr>
            <w:r/>
            <w:r>
              <w:rPr>
                <w:rFonts w:ascii="Aptos" w:hAnsi="Aptos"/>
                <w:b w:val="0"/>
                <w:color w:val="1D2433"/>
                <w:sz w:val="15"/>
              </w:rPr>
              <w:t>Seasonal eligibility, booking, pre-arrival, attendance and return.</w:t>
            </w:r>
          </w:p>
        </w:tc>
      </w:tr>
      <w:tr>
        <w:tc>
          <w:tcPr>
            <w:tcW w:type="dxa" w:w="22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Inactivity/win-back</w:t>
            </w:r>
          </w:p>
        </w:tc>
        <w:tc>
          <w:tcPr>
            <w:tcW w:type="dxa" w:w="71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No qualifying activity for configured interval, adjusted by historical cadence.</w:t>
            </w:r>
          </w:p>
        </w:tc>
      </w:tr>
      <w:tr>
        <w:tc>
          <w:tcPr>
            <w:tcW w:type="dxa" w:w="2200"/>
            <w:vAlign w:val="top"/>
            <w:tcMar>
              <w:top w:w="90" w:type="dxa"/>
              <w:start w:w="120" w:type="dxa"/>
              <w:bottom w:w="90" w:type="dxa"/>
              <w:end w:w="120" w:type="dxa"/>
            </w:tcMar>
          </w:tcPr>
          <w:p>
            <w:pPr>
              <w:spacing w:after="0" w:line="250" w:lineRule="auto"/>
            </w:pPr>
            <w:r/>
            <w:r>
              <w:rPr>
                <w:rFonts w:ascii="Aptos" w:hAnsi="Aptos"/>
                <w:b w:val="0"/>
                <w:color w:val="1D2433"/>
                <w:sz w:val="15"/>
              </w:rPr>
              <w:t>Reward/points expiry</w:t>
            </w:r>
          </w:p>
        </w:tc>
        <w:tc>
          <w:tcPr>
            <w:tcW w:type="dxa" w:w="7160"/>
            <w:vAlign w:val="top"/>
            <w:tcMar>
              <w:top w:w="90" w:type="dxa"/>
              <w:start w:w="120" w:type="dxa"/>
              <w:bottom w:w="90" w:type="dxa"/>
              <w:end w:w="120" w:type="dxa"/>
            </w:tcMar>
          </w:tcPr>
          <w:p>
            <w:pPr>
              <w:spacing w:after="0" w:line="250" w:lineRule="auto"/>
            </w:pPr>
            <w:r/>
            <w:r>
              <w:rPr>
                <w:rFonts w:ascii="Aptos" w:hAnsi="Aptos"/>
                <w:b w:val="0"/>
                <w:color w:val="1D2433"/>
                <w:sz w:val="15"/>
              </w:rPr>
              <w:t>Advance notice before material loyalty value expiry.</w:t>
            </w:r>
          </w:p>
        </w:tc>
      </w:tr>
      <w:tr>
        <w:tc>
          <w:tcPr>
            <w:tcW w:type="dxa" w:w="22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Membership lifecycle</w:t>
            </w:r>
          </w:p>
        </w:tc>
        <w:tc>
          <w:tcPr>
            <w:tcW w:type="dxa" w:w="71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Renewal, payment failure, benefit education, cancellation and expiry.</w:t>
            </w:r>
          </w:p>
        </w:tc>
      </w:tr>
      <w:tr>
        <w:tc>
          <w:tcPr>
            <w:tcW w:type="dxa" w:w="2200"/>
            <w:vAlign w:val="top"/>
            <w:tcMar>
              <w:top w:w="90" w:type="dxa"/>
              <w:start w:w="120" w:type="dxa"/>
              <w:bottom w:w="90" w:type="dxa"/>
              <w:end w:w="120" w:type="dxa"/>
            </w:tcMar>
          </w:tcPr>
          <w:p>
            <w:pPr>
              <w:spacing w:after="0" w:line="250" w:lineRule="auto"/>
            </w:pPr>
            <w:r/>
            <w:r>
              <w:rPr>
                <w:rFonts w:ascii="Aptos" w:hAnsi="Aptos"/>
                <w:b w:val="0"/>
                <w:color w:val="1D2433"/>
                <w:sz w:val="15"/>
              </w:rPr>
              <w:t>Abandoned booking</w:t>
            </w:r>
          </w:p>
        </w:tc>
        <w:tc>
          <w:tcPr>
            <w:tcW w:type="dxa" w:w="7160"/>
            <w:vAlign w:val="top"/>
            <w:tcMar>
              <w:top w:w="90" w:type="dxa"/>
              <w:start w:w="120" w:type="dxa"/>
              <w:bottom w:w="90" w:type="dxa"/>
              <w:end w:w="120" w:type="dxa"/>
            </w:tcMar>
          </w:tcPr>
          <w:p>
            <w:pPr>
              <w:spacing w:after="0" w:line="250" w:lineRule="auto"/>
            </w:pPr>
            <w:r/>
            <w:r>
              <w:rPr>
                <w:rFonts w:ascii="Aptos" w:hAnsi="Aptos"/>
                <w:b w:val="0"/>
                <w:color w:val="1D2433"/>
                <w:sz w:val="15"/>
              </w:rPr>
              <w:t>Started/identified booking not completed, if source event and consent permit.</w:t>
            </w:r>
          </w:p>
        </w:tc>
      </w:tr>
      <w:tr>
        <w:tc>
          <w:tcPr>
            <w:tcW w:type="dxa" w:w="22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Cross-park/product discovery</w:t>
            </w:r>
          </w:p>
        </w:tc>
        <w:tc>
          <w:tcPr>
            <w:tcW w:type="dxa" w:w="71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Relevant availability and historical behaviour; exclude unavailable products.</w:t>
            </w:r>
          </w:p>
        </w:tc>
      </w:tr>
      <w:tr>
        <w:tc>
          <w:tcPr>
            <w:tcW w:type="dxa" w:w="2200"/>
            <w:vAlign w:val="top"/>
            <w:tcMar>
              <w:top w:w="90" w:type="dxa"/>
              <w:start w:w="120" w:type="dxa"/>
              <w:bottom w:w="90" w:type="dxa"/>
              <w:end w:w="120" w:type="dxa"/>
            </w:tcMar>
          </w:tcPr>
          <w:p>
            <w:pPr>
              <w:spacing w:after="0" w:line="250" w:lineRule="auto"/>
            </w:pPr>
            <w:r/>
            <w:r>
              <w:rPr>
                <w:rFonts w:ascii="Aptos" w:hAnsi="Aptos"/>
                <w:b w:val="0"/>
                <w:color w:val="1D2433"/>
                <w:sz w:val="15"/>
              </w:rPr>
              <w:t>Service recovery</w:t>
            </w:r>
          </w:p>
        </w:tc>
        <w:tc>
          <w:tcPr>
            <w:tcW w:type="dxa" w:w="7160"/>
            <w:vAlign w:val="top"/>
            <w:tcMar>
              <w:top w:w="90" w:type="dxa"/>
              <w:start w:w="120" w:type="dxa"/>
              <w:bottom w:w="90" w:type="dxa"/>
              <w:end w:w="120" w:type="dxa"/>
            </w:tcMar>
          </w:tcPr>
          <w:p>
            <w:pPr>
              <w:spacing w:after="0" w:line="250" w:lineRule="auto"/>
            </w:pPr>
            <w:r/>
            <w:r>
              <w:rPr>
                <w:rFonts w:ascii="Aptos" w:hAnsi="Aptos"/>
                <w:b w:val="0"/>
                <w:color w:val="1D2433"/>
                <w:sz w:val="15"/>
              </w:rPr>
              <w:t>Approved case resolution with controlled reward and follow-up.</w:t>
            </w:r>
          </w:p>
        </w:tc>
      </w:tr>
    </w:tbl>
    <w:p>
      <w:pPr>
        <w:spacing w:after="20"/>
      </w:pPr>
    </w:p>
    <w:p>
      <w:pPr>
        <w:pStyle w:val="Heading2"/>
        <w:keepNext/>
      </w:pPr>
      <w:r>
        <w:t>12.3 Channels</w:t>
      </w:r>
    </w:p>
    <w:tbl>
      <w:tblPr>
        <w:tblStyle w:val="TableGrid"/>
        <w:tblW w:type="dxa" w:w="9360"/>
        <w:jc w:val="left"/>
        <w:tblLayout w:type="fixed"/>
        <w:tblLook w:firstColumn="1" w:firstRow="1" w:lastColumn="0" w:lastRow="0" w:noHBand="0" w:noVBand="1" w:val="04A0"/>
        <w:tblInd w:w="120" w:type="dxa"/>
      </w:tblPr>
      <w:tblGrid>
        <w:gridCol w:w="1600"/>
        <w:gridCol w:w="7760"/>
      </w:tblGrid>
      <w:tr>
        <w:trPr>
          <w:tblHeader w:val="true"/>
        </w:trPr>
        <w:tc>
          <w:tcPr>
            <w:tcW w:type="dxa" w:w="1600"/>
            <w:vAlign w:val="center"/>
            <w:shd w:fill="0B2545"/>
            <w:tcMar>
              <w:top w:w="90" w:type="dxa"/>
              <w:start w:w="120" w:type="dxa"/>
              <w:bottom w:w="90" w:type="dxa"/>
              <w:end w:w="120" w:type="dxa"/>
            </w:tcMar>
          </w:tcPr>
          <w:p>
            <w:pPr>
              <w:spacing w:after="0"/>
            </w:pPr>
            <w:r/>
            <w:r>
              <w:rPr>
                <w:rFonts w:ascii="Aptos" w:hAnsi="Aptos"/>
                <w:b/>
                <w:color w:val="FFFFFF"/>
                <w:sz w:val="15"/>
              </w:rPr>
              <w:t>Channel</w:t>
            </w:r>
          </w:p>
        </w:tc>
        <w:tc>
          <w:tcPr>
            <w:tcW w:type="dxa" w:w="7760"/>
            <w:shd w:fill="0B2545"/>
            <w:tcMar>
              <w:top w:w="90" w:type="dxa"/>
              <w:start w:w="120" w:type="dxa"/>
              <w:bottom w:w="90" w:type="dxa"/>
              <w:end w:w="120" w:type="dxa"/>
            </w:tcMar>
          </w:tcPr>
          <w:p>
            <w:pPr>
              <w:spacing w:after="0"/>
            </w:pPr>
            <w:r/>
            <w:r>
              <w:rPr>
                <w:rFonts w:ascii="Aptos" w:hAnsi="Aptos"/>
                <w:b/>
                <w:color w:val="FFFFFF"/>
                <w:sz w:val="15"/>
              </w:rPr>
              <w:t>Production requirements</w:t>
            </w:r>
          </w:p>
        </w:tc>
      </w:tr>
      <w:tr>
        <w:tc>
          <w:tcPr>
            <w:tcW w:type="dxa" w:w="1600"/>
            <w:vAlign w:val="top"/>
            <w:tcMar>
              <w:top w:w="90" w:type="dxa"/>
              <w:start w:w="120" w:type="dxa"/>
              <w:bottom w:w="90" w:type="dxa"/>
              <w:end w:w="120" w:type="dxa"/>
            </w:tcMar>
          </w:tcPr>
          <w:p>
            <w:pPr>
              <w:spacing w:after="0" w:line="250" w:lineRule="auto"/>
            </w:pPr>
            <w:r/>
            <w:r>
              <w:rPr>
                <w:rFonts w:ascii="Aptos" w:hAnsi="Aptos"/>
                <w:b w:val="0"/>
                <w:color w:val="1D2433"/>
                <w:sz w:val="15"/>
              </w:rPr>
              <w:t>Email</w:t>
            </w:r>
          </w:p>
        </w:tc>
        <w:tc>
          <w:tcPr>
            <w:tcW w:type="dxa" w:w="7760"/>
            <w:vAlign w:val="top"/>
            <w:tcMar>
              <w:top w:w="90" w:type="dxa"/>
              <w:start w:w="120" w:type="dxa"/>
              <w:bottom w:w="90" w:type="dxa"/>
              <w:end w:w="120" w:type="dxa"/>
            </w:tcMar>
          </w:tcPr>
          <w:p>
            <w:pPr>
              <w:spacing w:after="0" w:line="250" w:lineRule="auto"/>
            </w:pPr>
            <w:r/>
            <w:r>
              <w:rPr>
                <w:rFonts w:ascii="Aptos" w:hAnsi="Aptos"/>
                <w:b w:val="0"/>
                <w:color w:val="1D2433"/>
                <w:sz w:val="15"/>
              </w:rPr>
              <w:t>Authenticated sending domain, templates, localisation, unsubscribe, bounce/complaint processing and deliverability monitoring.</w:t>
            </w:r>
          </w:p>
        </w:tc>
      </w:tr>
      <w:tr>
        <w:tc>
          <w:tcPr>
            <w:tcW w:type="dxa" w:w="16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SMS</w:t>
            </w:r>
          </w:p>
        </w:tc>
        <w:tc>
          <w:tcPr>
            <w:tcW w:type="dxa" w:w="77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Verified sender, concise transactional/marketing distinction, STOP handling, delivery receipts and cost caps.</w:t>
            </w:r>
          </w:p>
        </w:tc>
      </w:tr>
      <w:tr>
        <w:tc>
          <w:tcPr>
            <w:tcW w:type="dxa" w:w="1600"/>
            <w:vAlign w:val="top"/>
            <w:tcMar>
              <w:top w:w="90" w:type="dxa"/>
              <w:start w:w="120" w:type="dxa"/>
              <w:bottom w:w="90" w:type="dxa"/>
              <w:end w:w="120" w:type="dxa"/>
            </w:tcMar>
          </w:tcPr>
          <w:p>
            <w:pPr>
              <w:spacing w:after="0" w:line="250" w:lineRule="auto"/>
            </w:pPr>
            <w:r/>
            <w:r>
              <w:rPr>
                <w:rFonts w:ascii="Aptos" w:hAnsi="Aptos"/>
                <w:b w:val="0"/>
                <w:color w:val="1D2433"/>
                <w:sz w:val="15"/>
              </w:rPr>
              <w:t>WhatsApp</w:t>
            </w:r>
          </w:p>
        </w:tc>
        <w:tc>
          <w:tcPr>
            <w:tcW w:type="dxa" w:w="7760"/>
            <w:vAlign w:val="top"/>
            <w:tcMar>
              <w:top w:w="90" w:type="dxa"/>
              <w:start w:w="120" w:type="dxa"/>
              <w:bottom w:w="90" w:type="dxa"/>
              <w:end w:w="120" w:type="dxa"/>
            </w:tcMar>
          </w:tcPr>
          <w:p>
            <w:pPr>
              <w:spacing w:after="0" w:line="250" w:lineRule="auto"/>
            </w:pPr>
            <w:r/>
            <w:r>
              <w:rPr>
                <w:rFonts w:ascii="Aptos" w:hAnsi="Aptos"/>
                <w:b w:val="0"/>
                <w:color w:val="1D2433"/>
                <w:sz w:val="15"/>
              </w:rPr>
              <w:t>Approved business account/templates, conversation-window rules, opt-in evidence, delivery/status webhooks and fallback policy.</w:t>
            </w:r>
          </w:p>
        </w:tc>
      </w:tr>
      <w:tr>
        <w:tc>
          <w:tcPr>
            <w:tcW w:type="dxa" w:w="16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Web push</w:t>
            </w:r>
          </w:p>
        </w:tc>
        <w:tc>
          <w:tcPr>
            <w:tcW w:type="dxa" w:w="77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Explicit browser permission, device subscriptions, expiry cleanup and preference control.</w:t>
            </w:r>
          </w:p>
        </w:tc>
      </w:tr>
      <w:tr>
        <w:tc>
          <w:tcPr>
            <w:tcW w:type="dxa" w:w="1600"/>
            <w:vAlign w:val="top"/>
            <w:tcMar>
              <w:top w:w="90" w:type="dxa"/>
              <w:start w:w="120" w:type="dxa"/>
              <w:bottom w:w="90" w:type="dxa"/>
              <w:end w:w="120" w:type="dxa"/>
            </w:tcMar>
          </w:tcPr>
          <w:p>
            <w:pPr>
              <w:spacing w:after="0" w:line="250" w:lineRule="auto"/>
            </w:pPr>
            <w:r/>
            <w:r>
              <w:rPr>
                <w:rFonts w:ascii="Aptos" w:hAnsi="Aptos"/>
                <w:b w:val="0"/>
                <w:color w:val="1D2433"/>
                <w:sz w:val="15"/>
              </w:rPr>
              <w:t>Wallet</w:t>
            </w:r>
          </w:p>
        </w:tc>
        <w:tc>
          <w:tcPr>
            <w:tcW w:type="dxa" w:w="7760"/>
            <w:vAlign w:val="top"/>
            <w:tcMar>
              <w:top w:w="90" w:type="dxa"/>
              <w:start w:w="120" w:type="dxa"/>
              <w:bottom w:w="90" w:type="dxa"/>
              <w:end w:w="120" w:type="dxa"/>
            </w:tcMar>
          </w:tcPr>
          <w:p>
            <w:pPr>
              <w:spacing w:after="0" w:line="250" w:lineRule="auto"/>
            </w:pPr>
            <w:r/>
            <w:r>
              <w:rPr>
                <w:rFonts w:ascii="Aptos" w:hAnsi="Aptos"/>
                <w:b w:val="0"/>
                <w:color w:val="1D2433"/>
                <w:sz w:val="15"/>
              </w:rPr>
              <w:t>Pass updates and platform-permitted notifications; no claim that delivery is guaranteed.</w:t>
            </w:r>
          </w:p>
        </w:tc>
      </w:tr>
      <w:tr>
        <w:tc>
          <w:tcPr>
            <w:tcW w:type="dxa" w:w="16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In-app/PWA</w:t>
            </w:r>
          </w:p>
        </w:tc>
        <w:tc>
          <w:tcPr>
            <w:tcW w:type="dxa" w:w="77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Inbox and contextual cards with read/dismiss state.</w:t>
            </w:r>
          </w:p>
        </w:tc>
      </w:tr>
    </w:tbl>
    <w:p>
      <w:pPr>
        <w:spacing w:after="20"/>
      </w:pPr>
    </w:p>
    <w:p>
      <w:pPr>
        <w:pStyle w:val="Heading2"/>
        <w:keepNext/>
      </w:pPr>
      <w:r>
        <w:t>12.4 Communication governance</w:t>
      </w:r>
    </w:p>
    <w:tbl>
      <w:tblPr>
        <w:tblStyle w:val="TableGrid"/>
        <w:tblW w:type="dxa" w:w="9360"/>
        <w:jc w:val="left"/>
        <w:tblLayout w:type="fixed"/>
        <w:tblLook w:firstColumn="1" w:firstRow="1" w:lastColumn="0" w:lastRow="0" w:noHBand="0" w:noVBand="1" w:val="04A0"/>
        <w:tblInd w:w="120" w:type="dxa"/>
      </w:tblPr>
      <w:tblGrid>
        <w:gridCol w:w="850"/>
        <w:gridCol w:w="5450"/>
        <w:gridCol w:w="3060"/>
      </w:tblGrid>
      <w:tr>
        <w:trPr>
          <w:tblHeader w:val="true"/>
        </w:trPr>
        <w:tc>
          <w:tcPr>
            <w:tcW w:type="dxa" w:w="850"/>
            <w:vAlign w:val="center"/>
            <w:shd w:fill="0B2545"/>
            <w:tcMar>
              <w:top w:w="90" w:type="dxa"/>
              <w:start w:w="120" w:type="dxa"/>
              <w:bottom w:w="90" w:type="dxa"/>
              <w:end w:w="120" w:type="dxa"/>
            </w:tcMar>
          </w:tcPr>
          <w:p>
            <w:pPr>
              <w:spacing w:after="0"/>
            </w:pPr>
            <w:r/>
            <w:r>
              <w:rPr>
                <w:rFonts w:ascii="Aptos" w:hAnsi="Aptos"/>
                <w:b/>
                <w:color w:val="FFFFFF"/>
                <w:sz w:val="15"/>
              </w:rPr>
              <w:t>ID</w:t>
            </w:r>
          </w:p>
        </w:tc>
        <w:tc>
          <w:tcPr>
            <w:tcW w:type="dxa" w:w="5450"/>
            <w:shd w:fill="0B2545"/>
            <w:tcMar>
              <w:top w:w="90" w:type="dxa"/>
              <w:start w:w="120" w:type="dxa"/>
              <w:bottom w:w="90" w:type="dxa"/>
              <w:end w:w="120" w:type="dxa"/>
            </w:tcMar>
          </w:tcPr>
          <w:p>
            <w:pPr>
              <w:spacing w:after="0"/>
            </w:pPr>
            <w:r/>
            <w:r>
              <w:rPr>
                <w:rFonts w:ascii="Aptos" w:hAnsi="Aptos"/>
                <w:b/>
                <w:color w:val="FFFFFF"/>
                <w:sz w:val="15"/>
              </w:rPr>
              <w:t>Production requirement</w:t>
            </w:r>
          </w:p>
        </w:tc>
        <w:tc>
          <w:tcPr>
            <w:tcW w:type="dxa" w:w="3060"/>
            <w:shd w:fill="0B2545"/>
            <w:tcMar>
              <w:top w:w="90" w:type="dxa"/>
              <w:start w:w="120" w:type="dxa"/>
              <w:bottom w:w="90" w:type="dxa"/>
              <w:end w:w="120" w:type="dxa"/>
            </w:tcMar>
          </w:tcPr>
          <w:p>
            <w:pPr>
              <w:spacing w:after="0"/>
            </w:pPr>
            <w:r/>
            <w:r>
              <w:rPr>
                <w:rFonts w:ascii="Aptos" w:hAnsi="Aptos"/>
                <w:b/>
                <w:color w:val="FFFFFF"/>
                <w:sz w:val="15"/>
              </w:rPr>
              <w:t>Acceptance evidence</w:t>
            </w:r>
          </w:p>
        </w:tc>
      </w:tr>
      <w:tr>
        <w:tc>
          <w:tcPr>
            <w:tcW w:type="dxa" w:w="850"/>
            <w:vAlign w:val="top"/>
            <w:tcMar>
              <w:top w:w="90" w:type="dxa"/>
              <w:start w:w="120" w:type="dxa"/>
              <w:bottom w:w="90" w:type="dxa"/>
              <w:end w:w="120" w:type="dxa"/>
            </w:tcMar>
          </w:tcPr>
          <w:p>
            <w:pPr>
              <w:spacing w:after="0" w:line="250" w:lineRule="auto"/>
            </w:pPr>
            <w:r/>
            <w:r>
              <w:rPr>
                <w:rFonts w:ascii="Aptos" w:hAnsi="Aptos"/>
                <w:b w:val="0"/>
                <w:color w:val="1D2433"/>
                <w:sz w:val="15"/>
              </w:rPr>
              <w:t>COM-001</w:t>
            </w:r>
          </w:p>
        </w:tc>
        <w:tc>
          <w:tcPr>
            <w:tcW w:type="dxa" w:w="5450"/>
            <w:vAlign w:val="top"/>
            <w:tcMar>
              <w:top w:w="90" w:type="dxa"/>
              <w:start w:w="120" w:type="dxa"/>
              <w:bottom w:w="90" w:type="dxa"/>
              <w:end w:w="120" w:type="dxa"/>
            </w:tcMar>
          </w:tcPr>
          <w:p>
            <w:pPr>
              <w:spacing w:after="0" w:line="250" w:lineRule="auto"/>
            </w:pPr>
            <w:r/>
            <w:r>
              <w:rPr>
                <w:rFonts w:ascii="Aptos" w:hAnsi="Aptos"/>
                <w:b w:val="0"/>
                <w:color w:val="1D2433"/>
                <w:sz w:val="15"/>
              </w:rPr>
              <w:t>Enforce channel/purpose consent, global suppression, quiet hours, frequency caps and journey priority before send.</w:t>
            </w:r>
          </w:p>
        </w:tc>
        <w:tc>
          <w:tcPr>
            <w:tcW w:type="dxa" w:w="3060"/>
            <w:vAlign w:val="top"/>
            <w:tcMar>
              <w:top w:w="90" w:type="dxa"/>
              <w:start w:w="120" w:type="dxa"/>
              <w:bottom w:w="90" w:type="dxa"/>
              <w:end w:w="120" w:type="dxa"/>
            </w:tcMar>
          </w:tcPr>
          <w:p>
            <w:pPr>
              <w:spacing w:after="0" w:line="250" w:lineRule="auto"/>
            </w:pPr>
            <w:r/>
            <w:r>
              <w:rPr>
                <w:rFonts w:ascii="Aptos" w:hAnsi="Aptos"/>
                <w:b w:val="0"/>
                <w:color w:val="1D2433"/>
                <w:sz w:val="15"/>
              </w:rPr>
              <w:t>Pre-send policy engine tests cover every exclusion.</w:t>
            </w:r>
          </w:p>
        </w:tc>
      </w:tr>
      <w:tr>
        <w:tc>
          <w:tcPr>
            <w:tcW w:type="dxa" w:w="8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COM-002</w:t>
            </w:r>
          </w:p>
        </w:tc>
        <w:tc>
          <w:tcPr>
            <w:tcW w:type="dxa" w:w="54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Separate operational/service messages from marketing using approved policy categories.</w:t>
            </w:r>
          </w:p>
        </w:tc>
        <w:tc>
          <w:tcPr>
            <w:tcW w:type="dxa" w:w="30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Template classification and legal-basis evidence exist.</w:t>
            </w:r>
          </w:p>
        </w:tc>
      </w:tr>
      <w:tr>
        <w:tc>
          <w:tcPr>
            <w:tcW w:type="dxa" w:w="850"/>
            <w:vAlign w:val="top"/>
            <w:tcMar>
              <w:top w:w="90" w:type="dxa"/>
              <w:start w:w="120" w:type="dxa"/>
              <w:bottom w:w="90" w:type="dxa"/>
              <w:end w:w="120" w:type="dxa"/>
            </w:tcMar>
          </w:tcPr>
          <w:p>
            <w:pPr>
              <w:spacing w:after="0" w:line="250" w:lineRule="auto"/>
            </w:pPr>
            <w:r/>
            <w:r>
              <w:rPr>
                <w:rFonts w:ascii="Aptos" w:hAnsi="Aptos"/>
                <w:b w:val="0"/>
                <w:color w:val="1D2433"/>
                <w:sz w:val="15"/>
              </w:rPr>
              <w:t>COM-003</w:t>
            </w:r>
          </w:p>
        </w:tc>
        <w:tc>
          <w:tcPr>
            <w:tcW w:type="dxa" w:w="5450"/>
            <w:vAlign w:val="top"/>
            <w:tcMar>
              <w:top w:w="90" w:type="dxa"/>
              <w:start w:w="120" w:type="dxa"/>
              <w:bottom w:w="90" w:type="dxa"/>
              <w:end w:w="120" w:type="dxa"/>
            </w:tcMar>
          </w:tcPr>
          <w:p>
            <w:pPr>
              <w:spacing w:after="0" w:line="250" w:lineRule="auto"/>
            </w:pPr>
            <w:r/>
            <w:r>
              <w:rPr>
                <w:rFonts w:ascii="Aptos" w:hAnsi="Aptos"/>
                <w:b w:val="0"/>
                <w:color w:val="1D2433"/>
                <w:sz w:val="15"/>
              </w:rPr>
              <w:t>Require approval for bulk, geolocation, high-cost, novel-data or child-adjacent campaigns.</w:t>
            </w:r>
          </w:p>
        </w:tc>
        <w:tc>
          <w:tcPr>
            <w:tcW w:type="dxa" w:w="3060"/>
            <w:vAlign w:val="top"/>
            <w:tcMar>
              <w:top w:w="90" w:type="dxa"/>
              <w:start w:w="120" w:type="dxa"/>
              <w:bottom w:w="90" w:type="dxa"/>
              <w:end w:w="120" w:type="dxa"/>
            </w:tcMar>
          </w:tcPr>
          <w:p>
            <w:pPr>
              <w:spacing w:after="0" w:line="250" w:lineRule="auto"/>
            </w:pPr>
            <w:r/>
            <w:r>
              <w:rPr>
                <w:rFonts w:ascii="Aptos" w:hAnsi="Aptos"/>
                <w:b w:val="0"/>
                <w:color w:val="1D2433"/>
                <w:sz w:val="15"/>
              </w:rPr>
              <w:t>Approval matrix cannot be bypassed by API or UI.</w:t>
            </w:r>
          </w:p>
        </w:tc>
      </w:tr>
      <w:tr>
        <w:tc>
          <w:tcPr>
            <w:tcW w:type="dxa" w:w="8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COM-004</w:t>
            </w:r>
          </w:p>
        </w:tc>
        <w:tc>
          <w:tcPr>
            <w:tcW w:type="dxa" w:w="54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Support A/B/n and holdout experiments with stable assignment.</w:t>
            </w:r>
          </w:p>
        </w:tc>
        <w:tc>
          <w:tcPr>
            <w:tcW w:type="dxa" w:w="30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Assignment is deterministic and outcome reporting separated.</w:t>
            </w:r>
          </w:p>
        </w:tc>
      </w:tr>
      <w:tr>
        <w:tc>
          <w:tcPr>
            <w:tcW w:type="dxa" w:w="850"/>
            <w:vAlign w:val="top"/>
            <w:tcMar>
              <w:top w:w="90" w:type="dxa"/>
              <w:start w:w="120" w:type="dxa"/>
              <w:bottom w:w="90" w:type="dxa"/>
              <w:end w:w="120" w:type="dxa"/>
            </w:tcMar>
          </w:tcPr>
          <w:p>
            <w:pPr>
              <w:spacing w:after="0" w:line="250" w:lineRule="auto"/>
            </w:pPr>
            <w:r/>
            <w:r>
              <w:rPr>
                <w:rFonts w:ascii="Aptos" w:hAnsi="Aptos"/>
                <w:b w:val="0"/>
                <w:color w:val="1D2433"/>
                <w:sz w:val="15"/>
              </w:rPr>
              <w:t>COM-005</w:t>
            </w:r>
          </w:p>
        </w:tc>
        <w:tc>
          <w:tcPr>
            <w:tcW w:type="dxa" w:w="5450"/>
            <w:vAlign w:val="top"/>
            <w:tcMar>
              <w:top w:w="90" w:type="dxa"/>
              <w:start w:w="120" w:type="dxa"/>
              <w:bottom w:w="90" w:type="dxa"/>
              <w:end w:w="120" w:type="dxa"/>
            </w:tcMar>
          </w:tcPr>
          <w:p>
            <w:pPr>
              <w:spacing w:after="0" w:line="250" w:lineRule="auto"/>
            </w:pPr>
            <w:r/>
            <w:r>
              <w:rPr>
                <w:rFonts w:ascii="Aptos" w:hAnsi="Aptos"/>
                <w:b w:val="0"/>
                <w:color w:val="1D2433"/>
                <w:sz w:val="15"/>
              </w:rPr>
              <w:t>Pause journeys automatically on provider complaint, bounce, error or budget thresholds.</w:t>
            </w:r>
          </w:p>
        </w:tc>
        <w:tc>
          <w:tcPr>
            <w:tcW w:type="dxa" w:w="3060"/>
            <w:vAlign w:val="top"/>
            <w:tcMar>
              <w:top w:w="90" w:type="dxa"/>
              <w:start w:w="120" w:type="dxa"/>
              <w:bottom w:w="90" w:type="dxa"/>
              <w:end w:w="120" w:type="dxa"/>
            </w:tcMar>
          </w:tcPr>
          <w:p>
            <w:pPr>
              <w:spacing w:after="0" w:line="250" w:lineRule="auto"/>
            </w:pPr>
            <w:r/>
            <w:r>
              <w:rPr>
                <w:rFonts w:ascii="Aptos" w:hAnsi="Aptos"/>
                <w:b w:val="0"/>
                <w:color w:val="1D2433"/>
                <w:sz w:val="15"/>
              </w:rPr>
              <w:t>Synthetic threshold test pauses and alerts.</w:t>
            </w:r>
          </w:p>
        </w:tc>
      </w:tr>
      <w:tr>
        <w:tc>
          <w:tcPr>
            <w:tcW w:type="dxa" w:w="8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COM-006</w:t>
            </w:r>
          </w:p>
        </w:tc>
        <w:tc>
          <w:tcPr>
            <w:tcW w:type="dxa" w:w="54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Render-test every template across language, device width and missing optional data.</w:t>
            </w:r>
          </w:p>
        </w:tc>
        <w:tc>
          <w:tcPr>
            <w:tcW w:type="dxa" w:w="30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Automated snapshots and fallback content pass.</w:t>
            </w:r>
          </w:p>
        </w:tc>
      </w:tr>
    </w:tbl>
    <w:p>
      <w:pPr>
        <w:spacing w:after="20"/>
      </w:pPr>
    </w:p>
    <w:p>
      <w:pPr>
        <w:pStyle w:val="Heading2"/>
        <w:keepNext/>
      </w:pPr>
      <w:r>
        <w:t>12.5 Geolocation</w:t>
      </w:r>
    </w:p>
    <w:p>
      <w:r>
        <w:rPr>
          <w:rFonts w:ascii="Aptos" w:hAnsi="Aptos"/>
          <w:b w:val="0"/>
          <w:i w:val="0"/>
          <w:color w:val="1D2433"/>
          <w:sz w:val="19"/>
        </w:rPr>
        <w:t>Geolocation-triggered messaging is supported only where it can be implemented transparently, lawfully and in accordance with Apple/Google/browser capabilities. It must be disabled by default until a specific privacy and platform review is approved. The implementation must not continuously collect location into Quantum Park’s database when an on-device or wallet proximity trigger can achieve the purpose.</w:t>
      </w:r>
    </w:p>
    <w:p>
      <w:pPr>
        <w:pStyle w:val="ListBullet"/>
      </w:pPr>
      <w:r>
        <w:rPr>
          <w:rFonts w:ascii="Aptos" w:hAnsi="Aptos"/>
          <w:b w:val="0"/>
          <w:color w:val="1D2433"/>
          <w:sz w:val="19"/>
        </w:rPr>
        <w:t>Separate explicit consent/purpose from ordinary marketing consent.</w:t>
      </w:r>
    </w:p>
    <w:p>
      <w:pPr>
        <w:pStyle w:val="ListBullet"/>
      </w:pPr>
      <w:r>
        <w:rPr>
          <w:rFonts w:ascii="Aptos" w:hAnsi="Aptos"/>
          <w:b w:val="0"/>
          <w:color w:val="1D2433"/>
          <w:sz w:val="19"/>
        </w:rPr>
        <w:t>Explain trigger radius, channel behaviour and how to disable it.</w:t>
      </w:r>
    </w:p>
    <w:p>
      <w:pPr>
        <w:pStyle w:val="ListBullet"/>
      </w:pPr>
      <w:r>
        <w:rPr>
          <w:rFonts w:ascii="Aptos" w:hAnsi="Aptos"/>
          <w:b w:val="0"/>
          <w:color w:val="1D2433"/>
          <w:sz w:val="19"/>
        </w:rPr>
        <w:t>Cap frequency and exclude sensitive or inferred locations.</w:t>
      </w:r>
    </w:p>
    <w:p>
      <w:pPr>
        <w:pStyle w:val="ListBullet"/>
      </w:pPr>
      <w:r>
        <w:rPr>
          <w:rFonts w:ascii="Aptos" w:hAnsi="Aptos"/>
          <w:b w:val="0"/>
          <w:color w:val="1D2433"/>
          <w:sz w:val="19"/>
        </w:rPr>
        <w:t>Do not retain precise location trails; retain only the minimum campaign event evidence.</w:t>
      </w:r>
    </w:p>
    <w:p>
      <w:pPr>
        <w:pStyle w:val="ListBullet"/>
      </w:pPr>
      <w:r>
        <w:rPr>
          <w:rFonts w:ascii="Aptos" w:hAnsi="Aptos"/>
          <w:b w:val="0"/>
          <w:color w:val="1D2433"/>
          <w:sz w:val="19"/>
        </w:rPr>
        <w:t>Provide a non-geolocation campaign alternative.</w:t>
      </w:r>
    </w:p>
    <w:p>
      <w:pPr>
        <w:pStyle w:val="Heading1"/>
        <w:keepNext/>
      </w:pPr>
      <w:r>
        <w:t>13. Admin console</w:t>
      </w:r>
    </w:p>
    <w:p>
      <w:pPr>
        <w:pStyle w:val="Heading2"/>
        <w:keepNext/>
      </w:pPr>
      <w:r>
        <w:t>13.1 Functional areas</w:t>
      </w:r>
    </w:p>
    <w:tbl>
      <w:tblPr>
        <w:tblStyle w:val="TableGrid"/>
        <w:tblW w:type="dxa" w:w="9360"/>
        <w:jc w:val="left"/>
        <w:tblLayout w:type="fixed"/>
        <w:tblLook w:firstColumn="1" w:firstRow="1" w:lastColumn="0" w:lastRow="0" w:noHBand="0" w:noVBand="1" w:val="04A0"/>
        <w:tblInd w:w="120" w:type="dxa"/>
      </w:tblPr>
      <w:tblGrid>
        <w:gridCol w:w="1700"/>
        <w:gridCol w:w="7660"/>
      </w:tblGrid>
      <w:tr>
        <w:trPr>
          <w:tblHeader w:val="true"/>
        </w:trPr>
        <w:tc>
          <w:tcPr>
            <w:tcW w:type="dxa" w:w="1700"/>
            <w:vAlign w:val="center"/>
            <w:shd w:fill="0B2545"/>
            <w:tcMar>
              <w:top w:w="90" w:type="dxa"/>
              <w:start w:w="120" w:type="dxa"/>
              <w:bottom w:w="90" w:type="dxa"/>
              <w:end w:w="120" w:type="dxa"/>
            </w:tcMar>
          </w:tcPr>
          <w:p>
            <w:pPr>
              <w:spacing w:after="0"/>
            </w:pPr>
            <w:r/>
            <w:r>
              <w:rPr>
                <w:rFonts w:ascii="Aptos" w:hAnsi="Aptos"/>
                <w:b/>
                <w:color w:val="FFFFFF"/>
                <w:sz w:val="15"/>
              </w:rPr>
              <w:t>Workspace</w:t>
            </w:r>
          </w:p>
        </w:tc>
        <w:tc>
          <w:tcPr>
            <w:tcW w:type="dxa" w:w="7660"/>
            <w:shd w:fill="0B2545"/>
            <w:tcMar>
              <w:top w:w="90" w:type="dxa"/>
              <w:start w:w="120" w:type="dxa"/>
              <w:bottom w:w="90" w:type="dxa"/>
              <w:end w:w="120" w:type="dxa"/>
            </w:tcMar>
          </w:tcPr>
          <w:p>
            <w:pPr>
              <w:spacing w:after="0"/>
            </w:pPr>
            <w:r/>
            <w:r>
              <w:rPr>
                <w:rFonts w:ascii="Aptos" w:hAnsi="Aptos"/>
                <w:b/>
                <w:color w:val="FFFFFF"/>
                <w:sz w:val="15"/>
              </w:rPr>
              <w:t>Capabilities</w:t>
            </w:r>
          </w:p>
        </w:tc>
      </w:tr>
      <w:tr>
        <w:tc>
          <w:tcPr>
            <w:tcW w:type="dxa" w:w="1700"/>
            <w:vAlign w:val="top"/>
            <w:tcMar>
              <w:top w:w="90" w:type="dxa"/>
              <w:start w:w="120" w:type="dxa"/>
              <w:bottom w:w="90" w:type="dxa"/>
              <w:end w:w="120" w:type="dxa"/>
            </w:tcMar>
          </w:tcPr>
          <w:p>
            <w:pPr>
              <w:spacing w:after="0" w:line="250" w:lineRule="auto"/>
            </w:pPr>
            <w:r/>
            <w:r>
              <w:rPr>
                <w:rFonts w:ascii="Aptos" w:hAnsi="Aptos"/>
                <w:b w:val="0"/>
                <w:color w:val="1D2433"/>
                <w:sz w:val="15"/>
              </w:rPr>
              <w:t>Overview</w:t>
            </w:r>
          </w:p>
        </w:tc>
        <w:tc>
          <w:tcPr>
            <w:tcW w:type="dxa" w:w="7660"/>
            <w:vAlign w:val="top"/>
            <w:tcMar>
              <w:top w:w="90" w:type="dxa"/>
              <w:start w:w="120" w:type="dxa"/>
              <w:bottom w:w="90" w:type="dxa"/>
              <w:end w:w="120" w:type="dxa"/>
            </w:tcMar>
          </w:tcPr>
          <w:p>
            <w:pPr>
              <w:spacing w:after="0" w:line="250" w:lineRule="auto"/>
            </w:pPr>
            <w:r/>
            <w:r>
              <w:rPr>
                <w:rFonts w:ascii="Aptos" w:hAnsi="Aptos"/>
                <w:b w:val="0"/>
                <w:color w:val="1D2433"/>
                <w:sz w:val="15"/>
              </w:rPr>
              <w:t>Health, active members, visits, value movement, campaign alerts, reconciliation and incidents.</w:t>
            </w:r>
          </w:p>
        </w:tc>
      </w:tr>
      <w:tr>
        <w:tc>
          <w:tcPr>
            <w:tcW w:type="dxa" w:w="17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Customers</w:t>
            </w:r>
          </w:p>
        </w:tc>
        <w:tc>
          <w:tcPr>
            <w:tcW w:type="dxa" w:w="76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Purpose-scoped search, timeline, household links, support cases, cards, consent and safe corrections.</w:t>
            </w:r>
          </w:p>
        </w:tc>
      </w:tr>
      <w:tr>
        <w:tc>
          <w:tcPr>
            <w:tcW w:type="dxa" w:w="1700"/>
            <w:vAlign w:val="top"/>
            <w:tcMar>
              <w:top w:w="90" w:type="dxa"/>
              <w:start w:w="120" w:type="dxa"/>
              <w:bottom w:w="90" w:type="dxa"/>
              <w:end w:w="120" w:type="dxa"/>
            </w:tcMar>
          </w:tcPr>
          <w:p>
            <w:pPr>
              <w:spacing w:after="0" w:line="250" w:lineRule="auto"/>
            </w:pPr>
            <w:r/>
            <w:r>
              <w:rPr>
                <w:rFonts w:ascii="Aptos" w:hAnsi="Aptos"/>
                <w:b w:val="0"/>
                <w:color w:val="1D2433"/>
                <w:sz w:val="15"/>
              </w:rPr>
              <w:t>Parks/products</w:t>
            </w:r>
          </w:p>
        </w:tc>
        <w:tc>
          <w:tcPr>
            <w:tcW w:type="dxa" w:w="7660"/>
            <w:vAlign w:val="top"/>
            <w:tcMar>
              <w:top w:w="90" w:type="dxa"/>
              <w:start w:w="120" w:type="dxa"/>
              <w:bottom w:w="90" w:type="dxa"/>
              <w:end w:w="120" w:type="dxa"/>
            </w:tcMar>
          </w:tcPr>
          <w:p>
            <w:pPr>
              <w:spacing w:after="0" w:line="250" w:lineRule="auto"/>
            </w:pPr>
            <w:r/>
            <w:r>
              <w:rPr>
                <w:rFonts w:ascii="Aptos" w:hAnsi="Aptos"/>
                <w:b w:val="0"/>
                <w:color w:val="1D2433"/>
                <w:sz w:val="15"/>
              </w:rPr>
              <w:t>Location, SKU, channel, eligibility, opening context and product-family configuration.</w:t>
            </w:r>
          </w:p>
        </w:tc>
      </w:tr>
      <w:tr>
        <w:tc>
          <w:tcPr>
            <w:tcW w:type="dxa" w:w="17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Loyalty</w:t>
            </w:r>
          </w:p>
        </w:tc>
        <w:tc>
          <w:tcPr>
            <w:tcW w:type="dxa" w:w="76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Rules, simulations, tiers, challenges, budgets and effective-dated publishing.</w:t>
            </w:r>
          </w:p>
        </w:tc>
      </w:tr>
      <w:tr>
        <w:tc>
          <w:tcPr>
            <w:tcW w:type="dxa" w:w="1700"/>
            <w:vAlign w:val="top"/>
            <w:tcMar>
              <w:top w:w="90" w:type="dxa"/>
              <w:start w:w="120" w:type="dxa"/>
              <w:bottom w:w="90" w:type="dxa"/>
              <w:end w:w="120" w:type="dxa"/>
            </w:tcMar>
          </w:tcPr>
          <w:p>
            <w:pPr>
              <w:spacing w:after="0" w:line="250" w:lineRule="auto"/>
            </w:pPr>
            <w:r/>
            <w:r>
              <w:rPr>
                <w:rFonts w:ascii="Aptos" w:hAnsi="Aptos"/>
                <w:b w:val="0"/>
                <w:color w:val="1D2433"/>
                <w:sz w:val="15"/>
              </w:rPr>
              <w:t>Rewards</w:t>
            </w:r>
          </w:p>
        </w:tc>
        <w:tc>
          <w:tcPr>
            <w:tcW w:type="dxa" w:w="7660"/>
            <w:vAlign w:val="top"/>
            <w:tcMar>
              <w:top w:w="90" w:type="dxa"/>
              <w:start w:w="120" w:type="dxa"/>
              <w:bottom w:w="90" w:type="dxa"/>
              <w:end w:w="120" w:type="dxa"/>
            </w:tcMar>
          </w:tcPr>
          <w:p>
            <w:pPr>
              <w:spacing w:after="0" w:line="250" w:lineRule="auto"/>
            </w:pPr>
            <w:r/>
            <w:r>
              <w:rPr>
                <w:rFonts w:ascii="Aptos" w:hAnsi="Aptos"/>
                <w:b w:val="0"/>
                <w:color w:val="1D2433"/>
                <w:sz w:val="15"/>
              </w:rPr>
              <w:t>Definitions, inventory, fulfilment, validity, cost and service-recovery budgets.</w:t>
            </w:r>
          </w:p>
        </w:tc>
      </w:tr>
      <w:tr>
        <w:tc>
          <w:tcPr>
            <w:tcW w:type="dxa" w:w="17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Value</w:t>
            </w:r>
          </w:p>
        </w:tc>
        <w:tc>
          <w:tcPr>
            <w:tcW w:type="dxa" w:w="76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Gift instruments, passes, memberships, liability and settlement.</w:t>
            </w:r>
          </w:p>
        </w:tc>
      </w:tr>
      <w:tr>
        <w:tc>
          <w:tcPr>
            <w:tcW w:type="dxa" w:w="1700"/>
            <w:vAlign w:val="top"/>
            <w:tcMar>
              <w:top w:w="90" w:type="dxa"/>
              <w:start w:w="120" w:type="dxa"/>
              <w:bottom w:w="90" w:type="dxa"/>
              <w:end w:w="120" w:type="dxa"/>
            </w:tcMar>
          </w:tcPr>
          <w:p>
            <w:pPr>
              <w:spacing w:after="0" w:line="250" w:lineRule="auto"/>
            </w:pPr>
            <w:r/>
            <w:r>
              <w:rPr>
                <w:rFonts w:ascii="Aptos" w:hAnsi="Aptos"/>
                <w:b w:val="0"/>
                <w:color w:val="1D2433"/>
                <w:sz w:val="15"/>
              </w:rPr>
              <w:t>Campaigns</w:t>
            </w:r>
          </w:p>
        </w:tc>
        <w:tc>
          <w:tcPr>
            <w:tcW w:type="dxa" w:w="7660"/>
            <w:vAlign w:val="top"/>
            <w:tcMar>
              <w:top w:w="90" w:type="dxa"/>
              <w:start w:w="120" w:type="dxa"/>
              <w:bottom w:w="90" w:type="dxa"/>
              <w:end w:w="120" w:type="dxa"/>
            </w:tcMar>
          </w:tcPr>
          <w:p>
            <w:pPr>
              <w:spacing w:after="0" w:line="250" w:lineRule="auto"/>
            </w:pPr>
            <w:r/>
            <w:r>
              <w:rPr>
                <w:rFonts w:ascii="Aptos" w:hAnsi="Aptos"/>
                <w:b w:val="0"/>
                <w:color w:val="1D2433"/>
                <w:sz w:val="15"/>
              </w:rPr>
              <w:t>Segments, templates, journeys, approvals, experiments and deliverability.</w:t>
            </w:r>
          </w:p>
        </w:tc>
      </w:tr>
      <w:tr>
        <w:tc>
          <w:tcPr>
            <w:tcW w:type="dxa" w:w="17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Operations</w:t>
            </w:r>
          </w:p>
        </w:tc>
        <w:tc>
          <w:tcPr>
            <w:tcW w:type="dxa" w:w="76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Devices, staff, scans, offline queues, disputes and reconciliation.</w:t>
            </w:r>
          </w:p>
        </w:tc>
      </w:tr>
      <w:tr>
        <w:tc>
          <w:tcPr>
            <w:tcW w:type="dxa" w:w="1700"/>
            <w:vAlign w:val="top"/>
            <w:tcMar>
              <w:top w:w="90" w:type="dxa"/>
              <w:start w:w="120" w:type="dxa"/>
              <w:bottom w:w="90" w:type="dxa"/>
              <w:end w:w="120" w:type="dxa"/>
            </w:tcMar>
          </w:tcPr>
          <w:p>
            <w:pPr>
              <w:spacing w:after="0" w:line="250" w:lineRule="auto"/>
            </w:pPr>
            <w:r/>
            <w:r>
              <w:rPr>
                <w:rFonts w:ascii="Aptos" w:hAnsi="Aptos"/>
                <w:b w:val="0"/>
                <w:color w:val="1D2433"/>
                <w:sz w:val="15"/>
              </w:rPr>
              <w:t>Finance</w:t>
            </w:r>
          </w:p>
        </w:tc>
        <w:tc>
          <w:tcPr>
            <w:tcW w:type="dxa" w:w="7660"/>
            <w:vAlign w:val="top"/>
            <w:tcMar>
              <w:top w:w="90" w:type="dxa"/>
              <w:start w:w="120" w:type="dxa"/>
              <w:bottom w:w="90" w:type="dxa"/>
              <w:end w:w="120" w:type="dxa"/>
            </w:tcMar>
          </w:tcPr>
          <w:p>
            <w:pPr>
              <w:spacing w:after="0" w:line="250" w:lineRule="auto"/>
            </w:pPr>
            <w:r/>
            <w:r>
              <w:rPr>
                <w:rFonts w:ascii="Aptos" w:hAnsi="Aptos"/>
                <w:b w:val="0"/>
                <w:color w:val="1D2433"/>
                <w:sz w:val="15"/>
              </w:rPr>
              <w:t>Outstanding value, redemption cost, breakage, settlements, refunds and exports.</w:t>
            </w:r>
          </w:p>
        </w:tc>
      </w:tr>
      <w:tr>
        <w:tc>
          <w:tcPr>
            <w:tcW w:type="dxa" w:w="17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Privacy</w:t>
            </w:r>
          </w:p>
        </w:tc>
        <w:tc>
          <w:tcPr>
            <w:tcW w:type="dxa" w:w="76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Consent versions, DSAR, restriction, deletion, retention and processor evidence.</w:t>
            </w:r>
          </w:p>
        </w:tc>
      </w:tr>
      <w:tr>
        <w:tc>
          <w:tcPr>
            <w:tcW w:type="dxa" w:w="1700"/>
            <w:vAlign w:val="top"/>
            <w:tcMar>
              <w:top w:w="90" w:type="dxa"/>
              <w:start w:w="120" w:type="dxa"/>
              <w:bottom w:w="90" w:type="dxa"/>
              <w:end w:w="120" w:type="dxa"/>
            </w:tcMar>
          </w:tcPr>
          <w:p>
            <w:pPr>
              <w:spacing w:after="0" w:line="250" w:lineRule="auto"/>
            </w:pPr>
            <w:r/>
            <w:r>
              <w:rPr>
                <w:rFonts w:ascii="Aptos" w:hAnsi="Aptos"/>
                <w:b w:val="0"/>
                <w:color w:val="1D2433"/>
                <w:sz w:val="15"/>
              </w:rPr>
              <w:t>Security</w:t>
            </w:r>
          </w:p>
        </w:tc>
        <w:tc>
          <w:tcPr>
            <w:tcW w:type="dxa" w:w="7660"/>
            <w:vAlign w:val="top"/>
            <w:tcMar>
              <w:top w:w="90" w:type="dxa"/>
              <w:start w:w="120" w:type="dxa"/>
              <w:bottom w:w="90" w:type="dxa"/>
              <w:end w:w="120" w:type="dxa"/>
            </w:tcMar>
          </w:tcPr>
          <w:p>
            <w:pPr>
              <w:spacing w:after="0" w:line="250" w:lineRule="auto"/>
            </w:pPr>
            <w:r/>
            <w:r>
              <w:rPr>
                <w:rFonts w:ascii="Aptos" w:hAnsi="Aptos"/>
                <w:b w:val="0"/>
                <w:color w:val="1D2433"/>
                <w:sz w:val="15"/>
              </w:rPr>
              <w:t>Sessions, roles, elevations, threats, audit and key/provider status.</w:t>
            </w:r>
          </w:p>
        </w:tc>
      </w:tr>
      <w:tr>
        <w:tc>
          <w:tcPr>
            <w:tcW w:type="dxa" w:w="17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Configuration</w:t>
            </w:r>
          </w:p>
        </w:tc>
        <w:tc>
          <w:tcPr>
            <w:tcW w:type="dxa" w:w="76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Languages, terminology, thresholds, provider routing and feature flags.</w:t>
            </w:r>
          </w:p>
        </w:tc>
      </w:tr>
    </w:tbl>
    <w:p>
      <w:pPr>
        <w:spacing w:after="20"/>
      </w:pPr>
    </w:p>
    <w:p>
      <w:pPr>
        <w:pStyle w:val="Heading2"/>
        <w:keepNext/>
      </w:pPr>
      <w:r>
        <w:t>13.2 Change control</w:t>
      </w:r>
    </w:p>
    <w:p>
      <w:pPr>
        <w:pStyle w:val="ListBullet"/>
      </w:pPr>
      <w:r>
        <w:rPr>
          <w:rFonts w:ascii="Aptos" w:hAnsi="Aptos"/>
          <w:b w:val="0"/>
          <w:color w:val="1D2433"/>
          <w:sz w:val="19"/>
        </w:rPr>
        <w:t>Draft → validate → simulate → approve → schedule/publish → observe → retire lifecycle for business rules and journeys.</w:t>
      </w:r>
    </w:p>
    <w:p>
      <w:pPr>
        <w:pStyle w:val="ListBullet"/>
      </w:pPr>
      <w:r>
        <w:rPr>
          <w:rFonts w:ascii="Aptos" w:hAnsi="Aptos"/>
          <w:b w:val="0"/>
          <w:color w:val="1D2433"/>
          <w:sz w:val="19"/>
        </w:rPr>
        <w:t>All configuration is versioned, diffable and exportable.</w:t>
      </w:r>
    </w:p>
    <w:p>
      <w:pPr>
        <w:pStyle w:val="ListBullet"/>
      </w:pPr>
      <w:r>
        <w:rPr>
          <w:rFonts w:ascii="Aptos" w:hAnsi="Aptos"/>
          <w:b w:val="0"/>
          <w:color w:val="1D2433"/>
          <w:sz w:val="19"/>
        </w:rPr>
        <w:t>High-risk changes require separate maker and approver identities.</w:t>
      </w:r>
    </w:p>
    <w:p>
      <w:pPr>
        <w:pStyle w:val="ListBullet"/>
      </w:pPr>
      <w:r>
        <w:rPr>
          <w:rFonts w:ascii="Aptos" w:hAnsi="Aptos"/>
          <w:b w:val="0"/>
          <w:color w:val="1D2433"/>
          <w:sz w:val="19"/>
        </w:rPr>
        <w:t>Emergency disable is available for each rule, reward, journey, provider and park without deployment.</w:t>
      </w:r>
    </w:p>
    <w:p>
      <w:pPr>
        <w:pStyle w:val="ListBullet"/>
      </w:pPr>
      <w:r>
        <w:rPr>
          <w:rFonts w:ascii="Aptos" w:hAnsi="Aptos"/>
          <w:b w:val="0"/>
          <w:color w:val="1D2433"/>
          <w:sz w:val="19"/>
        </w:rPr>
        <w:t>Rollback restores a prior version prospectively; historical decisions retain the original version reference.</w:t>
      </w:r>
    </w:p>
    <w:p>
      <w:pPr>
        <w:pStyle w:val="ListBullet"/>
      </w:pPr>
      <w:r>
        <w:rPr>
          <w:rFonts w:ascii="Aptos" w:hAnsi="Aptos"/>
          <w:b w:val="0"/>
          <w:color w:val="1D2433"/>
          <w:sz w:val="19"/>
        </w:rPr>
        <w:t>Production configuration changes emit audit events and operational alerts according to risk.</w:t>
      </w:r>
    </w:p>
    <w:p>
      <w:pPr>
        <w:pStyle w:val="Heading1"/>
        <w:keepNext/>
      </w:pPr>
      <w:r>
        <w:t>14. Integration requirements</w:t>
      </w:r>
    </w:p>
    <w:p>
      <w:pPr>
        <w:pStyle w:val="Heading2"/>
        <w:keepNext/>
      </w:pPr>
      <w:r>
        <w:t>14.1 Integration architecture contract</w:t>
      </w:r>
    </w:p>
    <w:p>
      <w:r>
        <w:rPr>
          <w:rFonts w:ascii="Aptos" w:hAnsi="Aptos"/>
          <w:b w:val="0"/>
          <w:i w:val="0"/>
          <w:color w:val="1D2433"/>
          <w:sz w:val="19"/>
        </w:rPr>
        <w:t>All external systems connect through adapters that translate provider-specific payloads into canonical commands/events. Provider code must not leak into the loyalty domain. Every inbound record is authenticated, schema-validated, idempotent, traceable and reconcilable. Every outbound action records request, response class, retries and final disposition without storing secrets or unnecessary personal data in logs.</w:t>
      </w:r>
    </w:p>
    <w:tbl>
      <w:tblPr>
        <w:tblStyle w:val="TableGrid"/>
        <w:tblW w:type="dxa" w:w="9360"/>
        <w:jc w:val="left"/>
        <w:tblLayout w:type="fixed"/>
        <w:tblLook w:firstColumn="1" w:firstRow="1" w:lastColumn="0" w:lastRow="0" w:noHBand="0" w:noVBand="1" w:val="04A0"/>
        <w:tblInd w:w="120" w:type="dxa"/>
      </w:tblPr>
      <w:tblGrid>
        <w:gridCol w:w="850"/>
        <w:gridCol w:w="5450"/>
        <w:gridCol w:w="3060"/>
      </w:tblGrid>
      <w:tr>
        <w:trPr>
          <w:tblHeader w:val="true"/>
        </w:trPr>
        <w:tc>
          <w:tcPr>
            <w:tcW w:type="dxa" w:w="850"/>
            <w:vAlign w:val="center"/>
            <w:shd w:fill="0B2545"/>
            <w:tcMar>
              <w:top w:w="90" w:type="dxa"/>
              <w:start w:w="120" w:type="dxa"/>
              <w:bottom w:w="90" w:type="dxa"/>
              <w:end w:w="120" w:type="dxa"/>
            </w:tcMar>
          </w:tcPr>
          <w:p>
            <w:pPr>
              <w:spacing w:after="0"/>
            </w:pPr>
            <w:r/>
            <w:r>
              <w:rPr>
                <w:rFonts w:ascii="Aptos" w:hAnsi="Aptos"/>
                <w:b/>
                <w:color w:val="FFFFFF"/>
                <w:sz w:val="15"/>
              </w:rPr>
              <w:t>ID</w:t>
            </w:r>
          </w:p>
        </w:tc>
        <w:tc>
          <w:tcPr>
            <w:tcW w:type="dxa" w:w="5450"/>
            <w:shd w:fill="0B2545"/>
            <w:tcMar>
              <w:top w:w="90" w:type="dxa"/>
              <w:start w:w="120" w:type="dxa"/>
              <w:bottom w:w="90" w:type="dxa"/>
              <w:end w:w="120" w:type="dxa"/>
            </w:tcMar>
          </w:tcPr>
          <w:p>
            <w:pPr>
              <w:spacing w:after="0"/>
            </w:pPr>
            <w:r/>
            <w:r>
              <w:rPr>
                <w:rFonts w:ascii="Aptos" w:hAnsi="Aptos"/>
                <w:b/>
                <w:color w:val="FFFFFF"/>
                <w:sz w:val="15"/>
              </w:rPr>
              <w:t>Production requirement</w:t>
            </w:r>
          </w:p>
        </w:tc>
        <w:tc>
          <w:tcPr>
            <w:tcW w:type="dxa" w:w="3060"/>
            <w:shd w:fill="0B2545"/>
            <w:tcMar>
              <w:top w:w="90" w:type="dxa"/>
              <w:start w:w="120" w:type="dxa"/>
              <w:bottom w:w="90" w:type="dxa"/>
              <w:end w:w="120" w:type="dxa"/>
            </w:tcMar>
          </w:tcPr>
          <w:p>
            <w:pPr>
              <w:spacing w:after="0"/>
            </w:pPr>
            <w:r/>
            <w:r>
              <w:rPr>
                <w:rFonts w:ascii="Aptos" w:hAnsi="Aptos"/>
                <w:b/>
                <w:color w:val="FFFFFF"/>
                <w:sz w:val="15"/>
              </w:rPr>
              <w:t>Acceptance evidence</w:t>
            </w:r>
          </w:p>
        </w:tc>
      </w:tr>
      <w:tr>
        <w:tc>
          <w:tcPr>
            <w:tcW w:type="dxa" w:w="850"/>
            <w:vAlign w:val="top"/>
            <w:tcMar>
              <w:top w:w="90" w:type="dxa"/>
              <w:start w:w="120" w:type="dxa"/>
              <w:bottom w:w="90" w:type="dxa"/>
              <w:end w:w="120" w:type="dxa"/>
            </w:tcMar>
          </w:tcPr>
          <w:p>
            <w:pPr>
              <w:spacing w:after="0" w:line="250" w:lineRule="auto"/>
            </w:pPr>
            <w:r/>
            <w:r>
              <w:rPr>
                <w:rFonts w:ascii="Aptos" w:hAnsi="Aptos"/>
                <w:b w:val="0"/>
                <w:color w:val="1D2433"/>
                <w:sz w:val="15"/>
              </w:rPr>
              <w:t>INT-001</w:t>
            </w:r>
          </w:p>
        </w:tc>
        <w:tc>
          <w:tcPr>
            <w:tcW w:type="dxa" w:w="5450"/>
            <w:vAlign w:val="top"/>
            <w:tcMar>
              <w:top w:w="90" w:type="dxa"/>
              <w:start w:w="120" w:type="dxa"/>
              <w:bottom w:w="90" w:type="dxa"/>
              <w:end w:w="120" w:type="dxa"/>
            </w:tcMar>
          </w:tcPr>
          <w:p>
            <w:pPr>
              <w:spacing w:after="0" w:line="250" w:lineRule="auto"/>
            </w:pPr>
            <w:r/>
            <w:r>
              <w:rPr>
                <w:rFonts w:ascii="Aptos" w:hAnsi="Aptos"/>
                <w:b w:val="0"/>
                <w:color w:val="1D2433"/>
                <w:sz w:val="15"/>
              </w:rPr>
              <w:t>Support signed webhooks, API polling and file/import modes behind one canonical adapter contract.</w:t>
            </w:r>
          </w:p>
        </w:tc>
        <w:tc>
          <w:tcPr>
            <w:tcW w:type="dxa" w:w="3060"/>
            <w:vAlign w:val="top"/>
            <w:tcMar>
              <w:top w:w="90" w:type="dxa"/>
              <w:start w:w="120" w:type="dxa"/>
              <w:bottom w:w="90" w:type="dxa"/>
              <w:end w:w="120" w:type="dxa"/>
            </w:tcMar>
          </w:tcPr>
          <w:p>
            <w:pPr>
              <w:spacing w:after="0" w:line="250" w:lineRule="auto"/>
            </w:pPr>
            <w:r/>
            <w:r>
              <w:rPr>
                <w:rFonts w:ascii="Aptos" w:hAnsi="Aptos"/>
                <w:b w:val="0"/>
                <w:color w:val="1D2433"/>
                <w:sz w:val="15"/>
              </w:rPr>
              <w:t>Contract tests run for each enabled mode.</w:t>
            </w:r>
          </w:p>
        </w:tc>
      </w:tr>
      <w:tr>
        <w:tc>
          <w:tcPr>
            <w:tcW w:type="dxa" w:w="8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INT-002</w:t>
            </w:r>
          </w:p>
        </w:tc>
        <w:tc>
          <w:tcPr>
            <w:tcW w:type="dxa" w:w="54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Store source system, source ID, schema version, checksum and receipt time for deduplication and evidence.</w:t>
            </w:r>
          </w:p>
        </w:tc>
        <w:tc>
          <w:tcPr>
            <w:tcW w:type="dxa" w:w="30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Replay produces no duplicate domain effect.</w:t>
            </w:r>
          </w:p>
        </w:tc>
      </w:tr>
      <w:tr>
        <w:tc>
          <w:tcPr>
            <w:tcW w:type="dxa" w:w="850"/>
            <w:vAlign w:val="top"/>
            <w:tcMar>
              <w:top w:w="90" w:type="dxa"/>
              <w:start w:w="120" w:type="dxa"/>
              <w:bottom w:w="90" w:type="dxa"/>
              <w:end w:w="120" w:type="dxa"/>
            </w:tcMar>
          </w:tcPr>
          <w:p>
            <w:pPr>
              <w:spacing w:after="0" w:line="250" w:lineRule="auto"/>
            </w:pPr>
            <w:r/>
            <w:r>
              <w:rPr>
                <w:rFonts w:ascii="Aptos" w:hAnsi="Aptos"/>
                <w:b w:val="0"/>
                <w:color w:val="1D2433"/>
                <w:sz w:val="15"/>
              </w:rPr>
              <w:t>INT-003</w:t>
            </w:r>
          </w:p>
        </w:tc>
        <w:tc>
          <w:tcPr>
            <w:tcW w:type="dxa" w:w="5450"/>
            <w:vAlign w:val="top"/>
            <w:tcMar>
              <w:top w:w="90" w:type="dxa"/>
              <w:start w:w="120" w:type="dxa"/>
              <w:bottom w:w="90" w:type="dxa"/>
              <w:end w:w="120" w:type="dxa"/>
            </w:tcMar>
          </w:tcPr>
          <w:p>
            <w:pPr>
              <w:spacing w:after="0" w:line="250" w:lineRule="auto"/>
            </w:pPr>
            <w:r/>
            <w:r>
              <w:rPr>
                <w:rFonts w:ascii="Aptos" w:hAnsi="Aptos"/>
                <w:b w:val="0"/>
                <w:color w:val="1D2433"/>
                <w:sz w:val="15"/>
              </w:rPr>
              <w:t>Use exponential backoff, dead-letter handling, replay tooling and operator-visible reconciliation.</w:t>
            </w:r>
          </w:p>
        </w:tc>
        <w:tc>
          <w:tcPr>
            <w:tcW w:type="dxa" w:w="3060"/>
            <w:vAlign w:val="top"/>
            <w:tcMar>
              <w:top w:w="90" w:type="dxa"/>
              <w:start w:w="120" w:type="dxa"/>
              <w:bottom w:w="90" w:type="dxa"/>
              <w:end w:w="120" w:type="dxa"/>
            </w:tcMar>
          </w:tcPr>
          <w:p>
            <w:pPr>
              <w:spacing w:after="0" w:line="250" w:lineRule="auto"/>
            </w:pPr>
            <w:r/>
            <w:r>
              <w:rPr>
                <w:rFonts w:ascii="Aptos" w:hAnsi="Aptos"/>
                <w:b w:val="0"/>
                <w:color w:val="1D2433"/>
                <w:sz w:val="15"/>
              </w:rPr>
              <w:t>Failure injection demonstrates recovery.</w:t>
            </w:r>
          </w:p>
        </w:tc>
      </w:tr>
      <w:tr>
        <w:tc>
          <w:tcPr>
            <w:tcW w:type="dxa" w:w="8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INT-004</w:t>
            </w:r>
          </w:p>
        </w:tc>
        <w:tc>
          <w:tcPr>
            <w:tcW w:type="dxa" w:w="54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Detect missing/out-of-order provider events and reconcile against authoritative source extracts.</w:t>
            </w:r>
          </w:p>
        </w:tc>
        <w:tc>
          <w:tcPr>
            <w:tcW w:type="dxa" w:w="30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Gap test creates and resolves reconciliation case.</w:t>
            </w:r>
          </w:p>
        </w:tc>
      </w:tr>
      <w:tr>
        <w:tc>
          <w:tcPr>
            <w:tcW w:type="dxa" w:w="850"/>
            <w:vAlign w:val="top"/>
            <w:tcMar>
              <w:top w:w="90" w:type="dxa"/>
              <w:start w:w="120" w:type="dxa"/>
              <w:bottom w:w="90" w:type="dxa"/>
              <w:end w:w="120" w:type="dxa"/>
            </w:tcMar>
          </w:tcPr>
          <w:p>
            <w:pPr>
              <w:spacing w:after="0" w:line="250" w:lineRule="auto"/>
            </w:pPr>
            <w:r/>
            <w:r>
              <w:rPr>
                <w:rFonts w:ascii="Aptos" w:hAnsi="Aptos"/>
                <w:b w:val="0"/>
                <w:color w:val="1D2433"/>
                <w:sz w:val="15"/>
              </w:rPr>
              <w:t>INT-005</w:t>
            </w:r>
          </w:p>
        </w:tc>
        <w:tc>
          <w:tcPr>
            <w:tcW w:type="dxa" w:w="5450"/>
            <w:vAlign w:val="top"/>
            <w:tcMar>
              <w:top w:w="90" w:type="dxa"/>
              <w:start w:w="120" w:type="dxa"/>
              <w:bottom w:w="90" w:type="dxa"/>
              <w:end w:w="120" w:type="dxa"/>
            </w:tcMar>
          </w:tcPr>
          <w:p>
            <w:pPr>
              <w:spacing w:after="0" w:line="250" w:lineRule="auto"/>
            </w:pPr>
            <w:r/>
            <w:r>
              <w:rPr>
                <w:rFonts w:ascii="Aptos" w:hAnsi="Aptos"/>
                <w:b w:val="0"/>
                <w:color w:val="1D2433"/>
                <w:sz w:val="15"/>
              </w:rPr>
              <w:t>Version external contracts and support provider sandbox/emulator fixtures.</w:t>
            </w:r>
          </w:p>
        </w:tc>
        <w:tc>
          <w:tcPr>
            <w:tcW w:type="dxa" w:w="3060"/>
            <w:vAlign w:val="top"/>
            <w:tcMar>
              <w:top w:w="90" w:type="dxa"/>
              <w:start w:w="120" w:type="dxa"/>
              <w:bottom w:w="90" w:type="dxa"/>
              <w:end w:w="120" w:type="dxa"/>
            </w:tcMar>
          </w:tcPr>
          <w:p>
            <w:pPr>
              <w:spacing w:after="0" w:line="250" w:lineRule="auto"/>
            </w:pPr>
            <w:r/>
            <w:r>
              <w:rPr>
                <w:rFonts w:ascii="Aptos" w:hAnsi="Aptos"/>
                <w:b w:val="0"/>
                <w:color w:val="1D2433"/>
                <w:sz w:val="15"/>
              </w:rPr>
              <w:t>CI contract suite blocks incompatible change.</w:t>
            </w:r>
          </w:p>
        </w:tc>
      </w:tr>
    </w:tbl>
    <w:p>
      <w:pPr>
        <w:spacing w:after="20"/>
      </w:pPr>
    </w:p>
    <w:p>
      <w:pPr>
        <w:pStyle w:val="Heading2"/>
        <w:keepNext/>
      </w:pPr>
      <w:r>
        <w:t>14.2 AppyBook or booking-system adapter</w:t>
      </w:r>
    </w:p>
    <w:p>
      <w:r>
        <w:rPr>
          <w:rFonts w:ascii="Aptos" w:hAnsi="Aptos"/>
          <w:b w:val="0"/>
          <w:i w:val="0"/>
          <w:color w:val="1D2433"/>
          <w:sz w:val="19"/>
        </w:rPr>
        <w:t>The current public Quantum Park booking experience uses a branded AppyBook domain for general bookings, parties and vouchers. The production adapter must implement the following canonical capabilities using the best supported mechanism authorised by Quantum Park and the provider:</w:t>
      </w:r>
    </w:p>
    <w:p>
      <w:pPr>
        <w:pStyle w:val="ListBullet"/>
      </w:pPr>
      <w:r>
        <w:rPr>
          <w:rFonts w:ascii="Aptos" w:hAnsi="Aptos"/>
          <w:b w:val="0"/>
          <w:color w:val="1D2433"/>
          <w:sz w:val="19"/>
        </w:rPr>
        <w:t>Import/create-or-update customers with lawful minimal identity fields.</w:t>
      </w:r>
    </w:p>
    <w:p>
      <w:pPr>
        <w:pStyle w:val="ListBullet"/>
      </w:pPr>
      <w:r>
        <w:rPr>
          <w:rFonts w:ascii="Aptos" w:hAnsi="Aptos"/>
          <w:b w:val="0"/>
          <w:color w:val="1D2433"/>
          <w:sz w:val="19"/>
        </w:rPr>
        <w:t>Import booking, order, line item, park, activity, date/time, participant count, discounts, payment status, cancellations and refunds.</w:t>
      </w:r>
    </w:p>
    <w:p>
      <w:pPr>
        <w:pStyle w:val="ListBullet"/>
      </w:pPr>
      <w:r>
        <w:rPr>
          <w:rFonts w:ascii="Aptos" w:hAnsi="Aptos"/>
          <w:b w:val="0"/>
          <w:color w:val="1D2433"/>
          <w:sz w:val="19"/>
        </w:rPr>
        <w:t>Receive or derive attendance/check-in/completion status.</w:t>
      </w:r>
    </w:p>
    <w:p>
      <w:pPr>
        <w:pStyle w:val="ListBullet"/>
      </w:pPr>
      <w:r>
        <w:rPr>
          <w:rFonts w:ascii="Aptos" w:hAnsi="Aptos"/>
          <w:b w:val="0"/>
          <w:color w:val="1D2433"/>
          <w:sz w:val="19"/>
        </w:rPr>
        <w:t>Attach Quantum household/member identifier back to the booking where the provider supports metadata.</w:t>
      </w:r>
    </w:p>
    <w:p>
      <w:pPr>
        <w:pStyle w:val="ListBullet"/>
      </w:pPr>
      <w:r>
        <w:rPr>
          <w:rFonts w:ascii="Aptos" w:hAnsi="Aptos"/>
          <w:b w:val="0"/>
          <w:color w:val="1D2433"/>
          <w:sz w:val="19"/>
        </w:rPr>
        <w:t>Apply approved coupon, gift, pass or member benefit where supported, otherwise issue a one-time redemption token and reconcile it.</w:t>
      </w:r>
    </w:p>
    <w:p>
      <w:pPr>
        <w:pStyle w:val="ListBullet"/>
      </w:pPr>
      <w:r>
        <w:rPr>
          <w:rFonts w:ascii="Aptos" w:hAnsi="Aptos"/>
          <w:b w:val="0"/>
          <w:color w:val="1D2433"/>
          <w:sz w:val="19"/>
        </w:rPr>
        <w:t>Import historical records through a repeatable, validated migration pipeline.</w:t>
      </w:r>
    </w:p>
    <w:p>
      <w:pPr>
        <w:pStyle w:val="ListBullet"/>
      </w:pPr>
      <w:r>
        <w:rPr>
          <w:rFonts w:ascii="Aptos" w:hAnsi="Aptos"/>
          <w:b w:val="0"/>
          <w:color w:val="1D2433"/>
          <w:sz w:val="19"/>
        </w:rPr>
        <w:t>Run scheduled full/delta reconciliation and surface unsupported fields/capabilities.</w:t>
      </w:r>
    </w:p>
    <w:p>
      <w:pPr>
        <w:spacing w:before="100" w:after="140" w:line="259" w:lineRule="auto"/>
        <w:ind w:left="160" w:right="160"/>
        <w:shd w:fill="F6F8FB"/>
        <w:pBdr>
          <w:top w:val="single" w:sz="6" w:space="5" w:color="AAB4C3"/>
          <w:left w:val="single" w:sz="6" w:space="5" w:color="AAB4C3"/>
          <w:bottom w:val="single" w:sz="6" w:space="5" w:color="AAB4C3"/>
          <w:right w:val="single" w:sz="6" w:space="5" w:color="AAB4C3"/>
        </w:pBdr>
      </w:pPr>
      <w:r>
        <w:rPr>
          <w:rFonts w:ascii="Aptos" w:hAnsi="Aptos"/>
          <w:b/>
          <w:color w:val="7A5A00"/>
          <w:sz w:val="16"/>
        </w:rPr>
        <w:t xml:space="preserve">NO INVENTED API  </w:t>
      </w:r>
      <w:r>
        <w:rPr>
          <w:rFonts w:ascii="Aptos" w:hAnsi="Aptos"/>
          <w:b w:val="0"/>
          <w:color w:val="1D2433"/>
          <w:sz w:val="18"/>
        </w:rPr>
        <w:t>The implementation agents must inspect any provider documentation or credentials supplied in the build environment. If direct API or webhook support is unavailable, they must implement the documented secure export/import adapter and park workflow in the same production system. They must not scrape authenticated pages or fabricate endpoints.</w:t>
      </w:r>
    </w:p>
    <w:p>
      <w:pPr>
        <w:pStyle w:val="Heading2"/>
        <w:keepNext/>
      </w:pPr>
      <w:r>
        <w:t>14.3 POS and café</w:t>
      </w:r>
    </w:p>
    <w:p>
      <w:pPr>
        <w:pStyle w:val="ListBullet"/>
      </w:pPr>
      <w:r>
        <w:rPr>
          <w:rFonts w:ascii="Aptos" w:hAnsi="Aptos"/>
          <w:b w:val="0"/>
          <w:color w:val="1D2433"/>
          <w:sz w:val="19"/>
        </w:rPr>
        <w:t>Canonical transaction contract supports receipt ID, park, terminal, staff, occurred time, currency, totals, tax, discounts, refunds and line items.</w:t>
      </w:r>
    </w:p>
    <w:p>
      <w:pPr>
        <w:pStyle w:val="ListBullet"/>
      </w:pPr>
      <w:r>
        <w:rPr>
          <w:rFonts w:ascii="Aptos" w:hAnsi="Aptos"/>
          <w:b w:val="0"/>
          <w:color w:val="1D2433"/>
          <w:sz w:val="19"/>
        </w:rPr>
        <w:t>Real-time attribution may use member QR before payment, booking ID match or receipt claim after purchase.</w:t>
      </w:r>
    </w:p>
    <w:p>
      <w:pPr>
        <w:pStyle w:val="ListBullet"/>
      </w:pPr>
      <w:r>
        <w:rPr>
          <w:rFonts w:ascii="Aptos" w:hAnsi="Aptos"/>
          <w:b w:val="0"/>
          <w:color w:val="1D2433"/>
          <w:sz w:val="19"/>
        </w:rPr>
        <w:t>If no POS API exists, scanner-assisted basket/value attribution must be bounded, reasoned and manager-auditable.</w:t>
      </w:r>
    </w:p>
    <w:p>
      <w:pPr>
        <w:pStyle w:val="ListBullet"/>
      </w:pPr>
      <w:r>
        <w:rPr>
          <w:rFonts w:ascii="Aptos" w:hAnsi="Aptos"/>
          <w:b w:val="0"/>
          <w:color w:val="1D2433"/>
          <w:sz w:val="19"/>
        </w:rPr>
        <w:t>Receipt claims require proof, time limits and duplicate prevention; OCR is optional only as an implementation aid, never sole authority for high value.</w:t>
      </w:r>
    </w:p>
    <w:p>
      <w:pPr>
        <w:pStyle w:val="Heading2"/>
        <w:keepNext/>
      </w:pPr>
      <w:r>
        <w:t>14.4 Payment, wallet and communications</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shd w:fill="0B2545"/>
            <w:tcMar>
              <w:top w:w="90" w:type="dxa"/>
              <w:start w:w="120" w:type="dxa"/>
              <w:bottom w:w="90" w:type="dxa"/>
              <w:end w:w="120" w:type="dxa"/>
            </w:tcMar>
          </w:tcPr>
          <w:p>
            <w:pPr>
              <w:spacing w:after="0"/>
            </w:pPr>
            <w:r/>
            <w:r>
              <w:rPr>
                <w:rFonts w:ascii="Aptos" w:hAnsi="Aptos"/>
                <w:b/>
                <w:color w:val="FFFFFF"/>
                <w:sz w:val="15"/>
              </w:rPr>
              <w:t>Integration</w:t>
            </w:r>
          </w:p>
        </w:tc>
        <w:tc>
          <w:tcPr>
            <w:tcW w:type="dxa" w:w="7260"/>
            <w:shd w:fill="0B2545"/>
            <w:tcMar>
              <w:top w:w="90" w:type="dxa"/>
              <w:start w:w="120" w:type="dxa"/>
              <w:bottom w:w="90" w:type="dxa"/>
              <w:end w:w="120" w:type="dxa"/>
            </w:tcMar>
          </w:tcPr>
          <w:p>
            <w:pPr>
              <w:spacing w:after="0"/>
            </w:pPr>
            <w:r/>
            <w:r>
              <w:rPr>
                <w:rFonts w:ascii="Aptos" w:hAnsi="Aptos"/>
                <w:b/>
                <w:color w:val="FFFFFF"/>
                <w:sz w:val="15"/>
              </w:rPr>
              <w:t>Required behaviour</w:t>
            </w:r>
          </w:p>
        </w:tc>
      </w:tr>
      <w:tr>
        <w:tc>
          <w:tcPr>
            <w:tcW w:type="dxa" w:w="2100"/>
            <w:vAlign w:val="top"/>
            <w:tcMar>
              <w:top w:w="90" w:type="dxa"/>
              <w:start w:w="120" w:type="dxa"/>
              <w:bottom w:w="90" w:type="dxa"/>
              <w:end w:w="120" w:type="dxa"/>
            </w:tcMar>
          </w:tcPr>
          <w:p>
            <w:pPr>
              <w:spacing w:after="0" w:line="250" w:lineRule="auto"/>
            </w:pPr>
            <w:r/>
            <w:r>
              <w:rPr>
                <w:rFonts w:ascii="Aptos" w:hAnsi="Aptos"/>
                <w:b w:val="0"/>
                <w:color w:val="1D2433"/>
                <w:sz w:val="15"/>
              </w:rPr>
              <w:t>Payment provider</w:t>
            </w:r>
          </w:p>
        </w:tc>
        <w:tc>
          <w:tcPr>
            <w:tcW w:type="dxa" w:w="7260"/>
            <w:vAlign w:val="top"/>
            <w:tcMar>
              <w:top w:w="90" w:type="dxa"/>
              <w:start w:w="120" w:type="dxa"/>
              <w:bottom w:w="90" w:type="dxa"/>
              <w:end w:w="120" w:type="dxa"/>
            </w:tcMar>
          </w:tcPr>
          <w:p>
            <w:pPr>
              <w:spacing w:after="0" w:line="250" w:lineRule="auto"/>
            </w:pPr>
            <w:r/>
            <w:r>
              <w:rPr>
                <w:rFonts w:ascii="Aptos" w:hAnsi="Aptos"/>
                <w:b w:val="0"/>
                <w:color w:val="1D2433"/>
                <w:sz w:val="15"/>
              </w:rPr>
              <w:t>SCA/3DS-capable European payments, tokenised methods, webhooks, refunds, disputes, settlement IDs and no raw card storage.</w:t>
            </w:r>
          </w:p>
        </w:tc>
      </w:tr>
      <w:tr>
        <w:tc>
          <w:tcPr>
            <w:tcW w:type="dxa" w:w="21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Apple Wallet</w:t>
            </w:r>
          </w:p>
        </w:tc>
        <w:tc>
          <w:tcPr>
            <w:tcW w:type="dxa" w:w="72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Signed pass issuance, update tokens, revocation, relevant-field updates and documented certificate rotation.</w:t>
            </w:r>
          </w:p>
        </w:tc>
      </w:tr>
      <w:tr>
        <w:tc>
          <w:tcPr>
            <w:tcW w:type="dxa" w:w="2100"/>
            <w:vAlign w:val="top"/>
            <w:tcMar>
              <w:top w:w="90" w:type="dxa"/>
              <w:start w:w="120" w:type="dxa"/>
              <w:bottom w:w="90" w:type="dxa"/>
              <w:end w:w="120" w:type="dxa"/>
            </w:tcMar>
          </w:tcPr>
          <w:p>
            <w:pPr>
              <w:spacing w:after="0" w:line="250" w:lineRule="auto"/>
            </w:pPr>
            <w:r/>
            <w:r>
              <w:rPr>
                <w:rFonts w:ascii="Aptos" w:hAnsi="Aptos"/>
                <w:b w:val="0"/>
                <w:color w:val="1D2433"/>
                <w:sz w:val="15"/>
              </w:rPr>
              <w:t>Google Wallet</w:t>
            </w:r>
          </w:p>
        </w:tc>
        <w:tc>
          <w:tcPr>
            <w:tcW w:type="dxa" w:w="7260"/>
            <w:vAlign w:val="top"/>
            <w:tcMar>
              <w:top w:w="90" w:type="dxa"/>
              <w:start w:w="120" w:type="dxa"/>
              <w:bottom w:w="90" w:type="dxa"/>
              <w:end w:w="120" w:type="dxa"/>
            </w:tcMar>
          </w:tcPr>
          <w:p>
            <w:pPr>
              <w:spacing w:after="0" w:line="250" w:lineRule="auto"/>
            </w:pPr>
            <w:r/>
            <w:r>
              <w:rPr>
                <w:rFonts w:ascii="Aptos" w:hAnsi="Aptos"/>
                <w:b w:val="0"/>
                <w:color w:val="1D2433"/>
                <w:sz w:val="15"/>
              </w:rPr>
              <w:t>Issuer configuration, signed object issuance/update/revocation and credential/key rotation.</w:t>
            </w:r>
          </w:p>
        </w:tc>
      </w:tr>
      <w:tr>
        <w:tc>
          <w:tcPr>
            <w:tcW w:type="dxa" w:w="21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Email/SMS/WhatsApp</w:t>
            </w:r>
          </w:p>
        </w:tc>
        <w:tc>
          <w:tcPr>
            <w:tcW w:type="dxa" w:w="72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Template/provider IDs, signed status callbacks, suppression ingestion, cost and deliverability metrics.</w:t>
            </w:r>
          </w:p>
        </w:tc>
      </w:tr>
      <w:tr>
        <w:tc>
          <w:tcPr>
            <w:tcW w:type="dxa" w:w="2100"/>
            <w:vAlign w:val="top"/>
            <w:tcMar>
              <w:top w:w="90" w:type="dxa"/>
              <w:start w:w="120" w:type="dxa"/>
              <w:bottom w:w="90" w:type="dxa"/>
              <w:end w:w="120" w:type="dxa"/>
            </w:tcMar>
          </w:tcPr>
          <w:p>
            <w:pPr>
              <w:spacing w:after="0" w:line="250" w:lineRule="auto"/>
            </w:pPr>
            <w:r/>
            <w:r>
              <w:rPr>
                <w:rFonts w:ascii="Aptos" w:hAnsi="Aptos"/>
                <w:b w:val="0"/>
                <w:color w:val="1D2433"/>
                <w:sz w:val="15"/>
              </w:rPr>
              <w:t>Identity provider</w:t>
            </w:r>
          </w:p>
        </w:tc>
        <w:tc>
          <w:tcPr>
            <w:tcW w:type="dxa" w:w="7260"/>
            <w:vAlign w:val="top"/>
            <w:tcMar>
              <w:top w:w="90" w:type="dxa"/>
              <w:start w:w="120" w:type="dxa"/>
              <w:bottom w:w="90" w:type="dxa"/>
              <w:end w:w="120" w:type="dxa"/>
            </w:tcMar>
          </w:tcPr>
          <w:p>
            <w:pPr>
              <w:spacing w:after="0" w:line="250" w:lineRule="auto"/>
            </w:pPr>
            <w:r/>
            <w:r>
              <w:rPr>
                <w:rFonts w:ascii="Aptos" w:hAnsi="Aptos"/>
                <w:b w:val="0"/>
                <w:color w:val="1D2433"/>
                <w:sz w:val="15"/>
              </w:rPr>
              <w:t>Workforce SSO, MFA, group/role mapping, SCIM or reliable lifecycle automation.</w:t>
            </w:r>
          </w:p>
        </w:tc>
      </w:tr>
      <w:tr>
        <w:tc>
          <w:tcPr>
            <w:tcW w:type="dxa" w:w="21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Data warehouse/BI</w:t>
            </w:r>
          </w:p>
        </w:tc>
        <w:tc>
          <w:tcPr>
            <w:tcW w:type="dxa" w:w="72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Pseudonymised curated events and dimensions with governed access and metric definitions.</w:t>
            </w:r>
          </w:p>
        </w:tc>
      </w:tr>
    </w:tbl>
    <w:p>
      <w:pPr>
        <w:spacing w:after="20"/>
      </w:pPr>
    </w:p>
    <w:p>
      <w:pPr>
        <w:pStyle w:val="Heading1"/>
        <w:keepNext/>
      </w:pPr>
      <w:r>
        <w:t>15. Data, analytics and reporting</w:t>
      </w:r>
    </w:p>
    <w:p>
      <w:pPr>
        <w:pStyle w:val="Heading2"/>
        <w:keepNext/>
      </w:pPr>
      <w:r>
        <w:t>15.1 Data products</w:t>
      </w:r>
    </w:p>
    <w:p>
      <w:pPr>
        <w:pStyle w:val="ListBullet"/>
      </w:pPr>
      <w:r>
        <w:rPr>
          <w:rFonts w:ascii="Aptos" w:hAnsi="Aptos"/>
          <w:b w:val="0"/>
          <w:color w:val="1D2433"/>
          <w:sz w:val="19"/>
        </w:rPr>
        <w:t>Operational store for current product state.</w:t>
      </w:r>
    </w:p>
    <w:p>
      <w:pPr>
        <w:pStyle w:val="ListBullet"/>
      </w:pPr>
      <w:r>
        <w:rPr>
          <w:rFonts w:ascii="Aptos" w:hAnsi="Aptos"/>
          <w:b w:val="0"/>
          <w:color w:val="1D2433"/>
          <w:sz w:val="19"/>
        </w:rPr>
        <w:t>Immutable event stream and ledger source of truth.</w:t>
      </w:r>
    </w:p>
    <w:p>
      <w:pPr>
        <w:pStyle w:val="ListBullet"/>
      </w:pPr>
      <w:r>
        <w:rPr>
          <w:rFonts w:ascii="Aptos" w:hAnsi="Aptos"/>
          <w:b w:val="0"/>
          <w:color w:val="1D2433"/>
          <w:sz w:val="19"/>
        </w:rPr>
        <w:t>Curated analytics model with customer/household, park, product, visit, campaign, reward and time dimensions.</w:t>
      </w:r>
    </w:p>
    <w:p>
      <w:pPr>
        <w:pStyle w:val="ListBullet"/>
      </w:pPr>
      <w:r>
        <w:rPr>
          <w:rFonts w:ascii="Aptos" w:hAnsi="Aptos"/>
          <w:b w:val="0"/>
          <w:color w:val="1D2433"/>
          <w:sz w:val="19"/>
        </w:rPr>
        <w:t>Finance model for gift value, credits, membership settlements, reward cost and liabilities.</w:t>
      </w:r>
    </w:p>
    <w:p>
      <w:pPr>
        <w:pStyle w:val="ListBullet"/>
      </w:pPr>
      <w:r>
        <w:rPr>
          <w:rFonts w:ascii="Aptos" w:hAnsi="Aptos"/>
          <w:b w:val="0"/>
          <w:color w:val="1D2433"/>
          <w:sz w:val="19"/>
        </w:rPr>
        <w:t>Privacy-safe experimentation model with treatment assignment and outcome windows.</w:t>
      </w:r>
    </w:p>
    <w:p>
      <w:pPr>
        <w:pStyle w:val="ListBullet"/>
      </w:pPr>
      <w:r>
        <w:rPr>
          <w:rFonts w:ascii="Aptos" w:hAnsi="Aptos"/>
          <w:b w:val="0"/>
          <w:color w:val="1D2433"/>
          <w:sz w:val="19"/>
        </w:rPr>
        <w:t>Audit/security store separated from marketing access.</w:t>
      </w:r>
    </w:p>
    <w:p>
      <w:pPr>
        <w:pStyle w:val="Heading2"/>
        <w:keepNext/>
      </w:pPr>
      <w:r>
        <w:t>15.2 Required dashboards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vAlign w:val="center"/>
            <w:shd w:fill="0B2545"/>
            <w:tcMar>
              <w:top w:w="90" w:type="dxa"/>
              <w:start w:w="120" w:type="dxa"/>
              <w:bottom w:w="90" w:type="dxa"/>
              <w:end w:w="120" w:type="dxa"/>
            </w:tcMar>
          </w:tcPr>
          <w:p>
            <w:pPr>
              <w:spacing w:after="0"/>
            </w:pPr>
            <w:r/>
            <w:r>
              <w:rPr>
                <w:rFonts w:ascii="Aptos" w:hAnsi="Aptos"/>
                <w:b/>
                <w:color w:val="FFFFFF"/>
                <w:sz w:val="14"/>
              </w:rPr>
              <w:t>Dashboard</w:t>
            </w:r>
          </w:p>
        </w:tc>
        <w:tc>
          <w:tcPr>
            <w:tcW w:type="dxa" w:w="7460"/>
            <w:shd w:fill="0B2545"/>
            <w:tcMar>
              <w:top w:w="90" w:type="dxa"/>
              <w:start w:w="120" w:type="dxa"/>
              <w:bottom w:w="90" w:type="dxa"/>
              <w:end w:w="120" w:type="dxa"/>
            </w:tcMar>
          </w:tcPr>
          <w:p>
            <w:pPr>
              <w:spacing w:after="0"/>
            </w:pPr>
            <w:r/>
            <w:r>
              <w:rPr>
                <w:rFonts w:ascii="Aptos" w:hAnsi="Aptos"/>
                <w:b/>
                <w:color w:val="FFFFFF"/>
                <w:sz w:val="14"/>
              </w:rPr>
              <w:t>Required measures</w:t>
            </w:r>
          </w:p>
        </w:tc>
      </w:tr>
      <w:tr>
        <w:tc>
          <w:tcPr>
            <w:tcW w:type="dxa" w:w="1900"/>
            <w:vAlign w:val="top"/>
            <w:tcMar>
              <w:top w:w="90" w:type="dxa"/>
              <w:start w:w="120" w:type="dxa"/>
              <w:bottom w:w="90" w:type="dxa"/>
              <w:end w:w="120" w:type="dxa"/>
            </w:tcMar>
          </w:tcPr>
          <w:p>
            <w:pPr>
              <w:spacing w:after="0" w:line="250" w:lineRule="auto"/>
            </w:pPr>
            <w:r/>
            <w:r>
              <w:rPr>
                <w:rFonts w:ascii="Aptos" w:hAnsi="Aptos"/>
                <w:b w:val="0"/>
                <w:color w:val="1D2433"/>
                <w:sz w:val="14"/>
              </w:rPr>
              <w:t>Executive</w:t>
            </w:r>
          </w:p>
        </w:tc>
        <w:tc>
          <w:tcPr>
            <w:tcW w:type="dxa" w:w="7460"/>
            <w:vAlign w:val="top"/>
            <w:tcMar>
              <w:top w:w="90" w:type="dxa"/>
              <w:start w:w="120" w:type="dxa"/>
              <w:bottom w:w="90" w:type="dxa"/>
              <w:end w:w="120" w:type="dxa"/>
            </w:tcMar>
          </w:tcPr>
          <w:p>
            <w:pPr>
              <w:spacing w:after="0" w:line="250" w:lineRule="auto"/>
            </w:pPr>
            <w:r/>
            <w:r>
              <w:rPr>
                <w:rFonts w:ascii="Aptos" w:hAnsi="Aptos"/>
                <w:b w:val="0"/>
                <w:color w:val="1D2433"/>
                <w:sz w:val="14"/>
              </w:rPr>
              <w:t>Active households, identified revenue/visits, retention cohorts, cross-product/location, incremental contribution, liability and service health.</w:t>
            </w:r>
          </w:p>
        </w:tc>
      </w:tr>
      <w:tr>
        <w:tc>
          <w:tcPr>
            <w:tcW w:type="dxa" w:w="1900"/>
            <w:vAlign w:val="top"/>
            <w:shd w:fill="F6F8FB"/>
            <w:tcMar>
              <w:top w:w="90" w:type="dxa"/>
              <w:start w:w="120" w:type="dxa"/>
              <w:bottom w:w="90" w:type="dxa"/>
              <w:end w:w="120" w:type="dxa"/>
            </w:tcMar>
          </w:tcPr>
          <w:p>
            <w:pPr>
              <w:spacing w:after="0" w:line="250" w:lineRule="auto"/>
            </w:pPr>
            <w:r/>
            <w:r>
              <w:rPr>
                <w:rFonts w:ascii="Aptos" w:hAnsi="Aptos"/>
                <w:b w:val="0"/>
                <w:color w:val="1D2433"/>
                <w:sz w:val="14"/>
              </w:rPr>
              <w:t>Park performance</w:t>
            </w:r>
          </w:p>
        </w:tc>
        <w:tc>
          <w:tcPr>
            <w:tcW w:type="dxa" w:w="7460"/>
            <w:vAlign w:val="top"/>
            <w:shd w:fill="F6F8FB"/>
            <w:tcMar>
              <w:top w:w="90" w:type="dxa"/>
              <w:start w:w="120" w:type="dxa"/>
              <w:bottom w:w="90" w:type="dxa"/>
              <w:end w:w="120" w:type="dxa"/>
            </w:tcMar>
          </w:tcPr>
          <w:p>
            <w:pPr>
              <w:spacing w:after="0" w:line="250" w:lineRule="auto"/>
            </w:pPr>
            <w:r/>
            <w:r>
              <w:rPr>
                <w:rFonts w:ascii="Aptos" w:hAnsi="Aptos"/>
                <w:b w:val="0"/>
                <w:color w:val="1D2433"/>
                <w:sz w:val="14"/>
              </w:rPr>
              <w:t>Members/visits by park, scans, redemptions, staff adoption, queue/failures, campaigns and local reward cost.</w:t>
            </w:r>
          </w:p>
        </w:tc>
      </w:tr>
      <w:tr>
        <w:tc>
          <w:tcPr>
            <w:tcW w:type="dxa" w:w="1900"/>
            <w:vAlign w:val="top"/>
            <w:tcMar>
              <w:top w:w="90" w:type="dxa"/>
              <w:start w:w="120" w:type="dxa"/>
              <w:bottom w:w="90" w:type="dxa"/>
              <w:end w:w="120" w:type="dxa"/>
            </w:tcMar>
          </w:tcPr>
          <w:p>
            <w:pPr>
              <w:spacing w:after="0" w:line="250" w:lineRule="auto"/>
            </w:pPr>
            <w:r/>
            <w:r>
              <w:rPr>
                <w:rFonts w:ascii="Aptos" w:hAnsi="Aptos"/>
                <w:b w:val="0"/>
                <w:color w:val="1D2433"/>
                <w:sz w:val="14"/>
              </w:rPr>
              <w:t>Customer/retention</w:t>
            </w:r>
          </w:p>
        </w:tc>
        <w:tc>
          <w:tcPr>
            <w:tcW w:type="dxa" w:w="7460"/>
            <w:vAlign w:val="top"/>
            <w:tcMar>
              <w:top w:w="90" w:type="dxa"/>
              <w:start w:w="120" w:type="dxa"/>
              <w:bottom w:w="90" w:type="dxa"/>
              <w:end w:w="120" w:type="dxa"/>
            </w:tcMar>
          </w:tcPr>
          <w:p>
            <w:pPr>
              <w:spacing w:after="0" w:line="250" w:lineRule="auto"/>
            </w:pPr>
            <w:r/>
            <w:r>
              <w:rPr>
                <w:rFonts w:ascii="Aptos" w:hAnsi="Aptos"/>
                <w:b w:val="0"/>
                <w:color w:val="1D2433"/>
                <w:sz w:val="14"/>
              </w:rPr>
              <w:t>Acquisition cohorts, repeat windows, inter-visit time, lifecycle state, churn indicators and household composition bands.</w:t>
            </w:r>
          </w:p>
        </w:tc>
      </w:tr>
      <w:tr>
        <w:tc>
          <w:tcPr>
            <w:tcW w:type="dxa" w:w="1900"/>
            <w:vAlign w:val="top"/>
            <w:shd w:fill="F6F8FB"/>
            <w:tcMar>
              <w:top w:w="90" w:type="dxa"/>
              <w:start w:w="120" w:type="dxa"/>
              <w:bottom w:w="90" w:type="dxa"/>
              <w:end w:w="120" w:type="dxa"/>
            </w:tcMar>
          </w:tcPr>
          <w:p>
            <w:pPr>
              <w:spacing w:after="0" w:line="250" w:lineRule="auto"/>
            </w:pPr>
            <w:r/>
            <w:r>
              <w:rPr>
                <w:rFonts w:ascii="Aptos" w:hAnsi="Aptos"/>
                <w:b w:val="0"/>
                <w:color w:val="1D2433"/>
                <w:sz w:val="14"/>
              </w:rPr>
              <w:t>Loyalty economics</w:t>
            </w:r>
          </w:p>
        </w:tc>
        <w:tc>
          <w:tcPr>
            <w:tcW w:type="dxa" w:w="7460"/>
            <w:vAlign w:val="top"/>
            <w:shd w:fill="F6F8FB"/>
            <w:tcMar>
              <w:top w:w="90" w:type="dxa"/>
              <w:start w:w="120" w:type="dxa"/>
              <w:bottom w:w="90" w:type="dxa"/>
              <w:end w:w="120" w:type="dxa"/>
            </w:tcMar>
          </w:tcPr>
          <w:p>
            <w:pPr>
              <w:spacing w:after="0" w:line="250" w:lineRule="auto"/>
            </w:pPr>
            <w:r/>
            <w:r>
              <w:rPr>
                <w:rFonts w:ascii="Aptos" w:hAnsi="Aptos"/>
                <w:b w:val="0"/>
                <w:color w:val="1D2433"/>
                <w:sz w:val="14"/>
              </w:rPr>
              <w:t>Earn/burn, outstanding points, expiry, reward cost, utilisation, breakage and ROI by rule/reward.</w:t>
            </w:r>
          </w:p>
        </w:tc>
      </w:tr>
      <w:tr>
        <w:tc>
          <w:tcPr>
            <w:tcW w:type="dxa" w:w="1900"/>
            <w:vAlign w:val="top"/>
            <w:tcMar>
              <w:top w:w="90" w:type="dxa"/>
              <w:start w:w="120" w:type="dxa"/>
              <w:bottom w:w="90" w:type="dxa"/>
              <w:end w:w="120" w:type="dxa"/>
            </w:tcMar>
          </w:tcPr>
          <w:p>
            <w:pPr>
              <w:spacing w:after="0" w:line="250" w:lineRule="auto"/>
            </w:pPr>
            <w:r/>
            <w:r>
              <w:rPr>
                <w:rFonts w:ascii="Aptos" w:hAnsi="Aptos"/>
                <w:b w:val="0"/>
                <w:color w:val="1D2433"/>
                <w:sz w:val="14"/>
              </w:rPr>
              <w:t>Campaign</w:t>
            </w:r>
          </w:p>
        </w:tc>
        <w:tc>
          <w:tcPr>
            <w:tcW w:type="dxa" w:w="7460"/>
            <w:vAlign w:val="top"/>
            <w:tcMar>
              <w:top w:w="90" w:type="dxa"/>
              <w:start w:w="120" w:type="dxa"/>
              <w:bottom w:w="90" w:type="dxa"/>
              <w:end w:w="120" w:type="dxa"/>
            </w:tcMar>
          </w:tcPr>
          <w:p>
            <w:pPr>
              <w:spacing w:after="0" w:line="250" w:lineRule="auto"/>
            </w:pPr>
            <w:r/>
            <w:r>
              <w:rPr>
                <w:rFonts w:ascii="Aptos" w:hAnsi="Aptos"/>
                <w:b w:val="0"/>
                <w:color w:val="1D2433"/>
                <w:sz w:val="14"/>
              </w:rPr>
              <w:t>Reachable audience, delivery, engagement, conversion, holdout lift, unsubscribe/complaint and cost.</w:t>
            </w:r>
          </w:p>
        </w:tc>
      </w:tr>
      <w:tr>
        <w:tc>
          <w:tcPr>
            <w:tcW w:type="dxa" w:w="1900"/>
            <w:vAlign w:val="top"/>
            <w:shd w:fill="F6F8FB"/>
            <w:tcMar>
              <w:top w:w="90" w:type="dxa"/>
              <w:start w:w="120" w:type="dxa"/>
              <w:bottom w:w="90" w:type="dxa"/>
              <w:end w:w="120" w:type="dxa"/>
            </w:tcMar>
          </w:tcPr>
          <w:p>
            <w:pPr>
              <w:spacing w:after="0" w:line="250" w:lineRule="auto"/>
            </w:pPr>
            <w:r/>
            <w:r>
              <w:rPr>
                <w:rFonts w:ascii="Aptos" w:hAnsi="Aptos"/>
                <w:b w:val="0"/>
                <w:color w:val="1D2433"/>
                <w:sz w:val="14"/>
              </w:rPr>
              <w:t>Membership</w:t>
            </w:r>
          </w:p>
        </w:tc>
        <w:tc>
          <w:tcPr>
            <w:tcW w:type="dxa" w:w="7460"/>
            <w:vAlign w:val="top"/>
            <w:shd w:fill="F6F8FB"/>
            <w:tcMar>
              <w:top w:w="90" w:type="dxa"/>
              <w:start w:w="120" w:type="dxa"/>
              <w:bottom w:w="90" w:type="dxa"/>
              <w:end w:w="120" w:type="dxa"/>
            </w:tcMar>
          </w:tcPr>
          <w:p>
            <w:pPr>
              <w:spacing w:after="0" w:line="250" w:lineRule="auto"/>
            </w:pPr>
            <w:r/>
            <w:r>
              <w:rPr>
                <w:rFonts w:ascii="Aptos" w:hAnsi="Aptos"/>
                <w:b w:val="0"/>
                <w:color w:val="1D2433"/>
                <w:sz w:val="14"/>
              </w:rPr>
              <w:t>Subscribers, MRR where applicable, renewal, failed payment, pause, cancellation, usage and capacity impact.</w:t>
            </w:r>
          </w:p>
        </w:tc>
      </w:tr>
      <w:tr>
        <w:tc>
          <w:tcPr>
            <w:tcW w:type="dxa" w:w="1900"/>
            <w:vAlign w:val="top"/>
            <w:tcMar>
              <w:top w:w="90" w:type="dxa"/>
              <w:start w:w="120" w:type="dxa"/>
              <w:bottom w:w="90" w:type="dxa"/>
              <w:end w:w="120" w:type="dxa"/>
            </w:tcMar>
          </w:tcPr>
          <w:p>
            <w:pPr>
              <w:spacing w:after="0" w:line="250" w:lineRule="auto"/>
            </w:pPr>
            <w:r/>
            <w:r>
              <w:rPr>
                <w:rFonts w:ascii="Aptos" w:hAnsi="Aptos"/>
                <w:b w:val="0"/>
                <w:color w:val="1D2433"/>
                <w:sz w:val="14"/>
              </w:rPr>
              <w:t>Gift/value</w:t>
            </w:r>
          </w:p>
        </w:tc>
        <w:tc>
          <w:tcPr>
            <w:tcW w:type="dxa" w:w="7460"/>
            <w:vAlign w:val="top"/>
            <w:tcMar>
              <w:top w:w="90" w:type="dxa"/>
              <w:start w:w="120" w:type="dxa"/>
              <w:bottom w:w="90" w:type="dxa"/>
              <w:end w:w="120" w:type="dxa"/>
            </w:tcMar>
          </w:tcPr>
          <w:p>
            <w:pPr>
              <w:spacing w:after="0" w:line="250" w:lineRule="auto"/>
            </w:pPr>
            <w:r/>
            <w:r>
              <w:rPr>
                <w:rFonts w:ascii="Aptos" w:hAnsi="Aptos"/>
                <w:b w:val="0"/>
                <w:color w:val="1D2433"/>
                <w:sz w:val="14"/>
              </w:rPr>
              <w:t>Sales, outstanding balance, redemption, refunds, expiry/breakage and settlement variance.</w:t>
            </w:r>
          </w:p>
        </w:tc>
      </w:tr>
      <w:tr>
        <w:tc>
          <w:tcPr>
            <w:tcW w:type="dxa" w:w="1900"/>
            <w:vAlign w:val="top"/>
            <w:shd w:fill="F6F8FB"/>
            <w:tcMar>
              <w:top w:w="90" w:type="dxa"/>
              <w:start w:w="120" w:type="dxa"/>
              <w:bottom w:w="90" w:type="dxa"/>
              <w:end w:w="120" w:type="dxa"/>
            </w:tcMar>
          </w:tcPr>
          <w:p>
            <w:pPr>
              <w:spacing w:after="0" w:line="250" w:lineRule="auto"/>
            </w:pPr>
            <w:r/>
            <w:r>
              <w:rPr>
                <w:rFonts w:ascii="Aptos" w:hAnsi="Aptos"/>
                <w:b w:val="0"/>
                <w:color w:val="1D2433"/>
                <w:sz w:val="14"/>
              </w:rPr>
              <w:t>Operations/fraud</w:t>
            </w:r>
          </w:p>
        </w:tc>
        <w:tc>
          <w:tcPr>
            <w:tcW w:type="dxa" w:w="7460"/>
            <w:vAlign w:val="top"/>
            <w:shd w:fill="F6F8FB"/>
            <w:tcMar>
              <w:top w:w="90" w:type="dxa"/>
              <w:start w:w="120" w:type="dxa"/>
              <w:bottom w:w="90" w:type="dxa"/>
              <w:end w:w="120" w:type="dxa"/>
            </w:tcMar>
          </w:tcPr>
          <w:p>
            <w:pPr>
              <w:spacing w:after="0" w:line="250" w:lineRule="auto"/>
            </w:pPr>
            <w:r/>
            <w:r>
              <w:rPr>
                <w:rFonts w:ascii="Aptos" w:hAnsi="Aptos"/>
                <w:b w:val="0"/>
                <w:color w:val="1D2433"/>
                <w:sz w:val="14"/>
              </w:rPr>
              <w:t>Manual actions, overrides, duplicate attempts, offline grants, anomaly cases and resolution SLA.</w:t>
            </w:r>
          </w:p>
        </w:tc>
      </w:tr>
    </w:tbl>
    <w:p>
      <w:pPr>
        <w:spacing w:after="20"/>
      </w:pPr>
    </w:p>
    <w:p>
      <w:pPr>
        <w:pStyle w:val="Heading2"/>
        <w:keepNext/>
      </w:pPr>
      <w:r>
        <w:t>15.3 Metric integrity</w:t>
      </w:r>
    </w:p>
    <w:tbl>
      <w:tblPr>
        <w:tblStyle w:val="TableGrid"/>
        <w:tblW w:type="dxa" w:w="9360"/>
        <w:jc w:val="left"/>
        <w:tblLayout w:type="fixed"/>
        <w:tblLook w:firstColumn="1" w:firstRow="1" w:lastColumn="0" w:lastRow="0" w:noHBand="0" w:noVBand="1" w:val="04A0"/>
        <w:tblInd w:w="120" w:type="dxa"/>
      </w:tblPr>
      <w:tblGrid>
        <w:gridCol w:w="850"/>
        <w:gridCol w:w="5450"/>
        <w:gridCol w:w="3060"/>
      </w:tblGrid>
      <w:tr>
        <w:trPr>
          <w:tblHeader w:val="true"/>
        </w:trPr>
        <w:tc>
          <w:tcPr>
            <w:tcW w:type="dxa" w:w="850"/>
            <w:vAlign w:val="center"/>
            <w:shd w:fill="0B2545"/>
            <w:tcMar>
              <w:top w:w="90" w:type="dxa"/>
              <w:start w:w="120" w:type="dxa"/>
              <w:bottom w:w="90" w:type="dxa"/>
              <w:end w:w="120" w:type="dxa"/>
            </w:tcMar>
          </w:tcPr>
          <w:p>
            <w:pPr>
              <w:spacing w:after="0"/>
            </w:pPr>
            <w:r/>
            <w:r>
              <w:rPr>
                <w:rFonts w:ascii="Aptos" w:hAnsi="Aptos"/>
                <w:b/>
                <w:color w:val="FFFFFF"/>
                <w:sz w:val="15"/>
              </w:rPr>
              <w:t>ID</w:t>
            </w:r>
          </w:p>
        </w:tc>
        <w:tc>
          <w:tcPr>
            <w:tcW w:type="dxa" w:w="5450"/>
            <w:shd w:fill="0B2545"/>
            <w:tcMar>
              <w:top w:w="90" w:type="dxa"/>
              <w:start w:w="120" w:type="dxa"/>
              <w:bottom w:w="90" w:type="dxa"/>
              <w:end w:w="120" w:type="dxa"/>
            </w:tcMar>
          </w:tcPr>
          <w:p>
            <w:pPr>
              <w:spacing w:after="0"/>
            </w:pPr>
            <w:r/>
            <w:r>
              <w:rPr>
                <w:rFonts w:ascii="Aptos" w:hAnsi="Aptos"/>
                <w:b/>
                <w:color w:val="FFFFFF"/>
                <w:sz w:val="15"/>
              </w:rPr>
              <w:t>Production requirement</w:t>
            </w:r>
          </w:p>
        </w:tc>
        <w:tc>
          <w:tcPr>
            <w:tcW w:type="dxa" w:w="3060"/>
            <w:shd w:fill="0B2545"/>
            <w:tcMar>
              <w:top w:w="90" w:type="dxa"/>
              <w:start w:w="120" w:type="dxa"/>
              <w:bottom w:w="90" w:type="dxa"/>
              <w:end w:w="120" w:type="dxa"/>
            </w:tcMar>
          </w:tcPr>
          <w:p>
            <w:pPr>
              <w:spacing w:after="0"/>
            </w:pPr>
            <w:r/>
            <w:r>
              <w:rPr>
                <w:rFonts w:ascii="Aptos" w:hAnsi="Aptos"/>
                <w:b/>
                <w:color w:val="FFFFFF"/>
                <w:sz w:val="15"/>
              </w:rPr>
              <w:t>Acceptance evidence</w:t>
            </w:r>
          </w:p>
        </w:tc>
      </w:tr>
      <w:tr>
        <w:tc>
          <w:tcPr>
            <w:tcW w:type="dxa" w:w="850"/>
            <w:vAlign w:val="top"/>
            <w:tcMar>
              <w:top w:w="90" w:type="dxa"/>
              <w:start w:w="120" w:type="dxa"/>
              <w:bottom w:w="90" w:type="dxa"/>
              <w:end w:w="120" w:type="dxa"/>
            </w:tcMar>
          </w:tcPr>
          <w:p>
            <w:pPr>
              <w:spacing w:after="0" w:line="250" w:lineRule="auto"/>
            </w:pPr>
            <w:r/>
            <w:r>
              <w:rPr>
                <w:rFonts w:ascii="Aptos" w:hAnsi="Aptos"/>
                <w:b w:val="0"/>
                <w:color w:val="1D2433"/>
                <w:sz w:val="15"/>
              </w:rPr>
              <w:t>DAT-001</w:t>
            </w:r>
          </w:p>
        </w:tc>
        <w:tc>
          <w:tcPr>
            <w:tcW w:type="dxa" w:w="5450"/>
            <w:vAlign w:val="top"/>
            <w:tcMar>
              <w:top w:w="90" w:type="dxa"/>
              <w:start w:w="120" w:type="dxa"/>
              <w:bottom w:w="90" w:type="dxa"/>
              <w:end w:w="120" w:type="dxa"/>
            </w:tcMar>
          </w:tcPr>
          <w:p>
            <w:pPr>
              <w:spacing w:after="0" w:line="250" w:lineRule="auto"/>
            </w:pPr>
            <w:r/>
            <w:r>
              <w:rPr>
                <w:rFonts w:ascii="Aptos" w:hAnsi="Aptos"/>
                <w:b w:val="0"/>
                <w:color w:val="1D2433"/>
                <w:sz w:val="15"/>
              </w:rPr>
              <w:t>Maintain a versioned metric catalogue with owner, formula, grain, exclusions and source.</w:t>
            </w:r>
          </w:p>
        </w:tc>
        <w:tc>
          <w:tcPr>
            <w:tcW w:type="dxa" w:w="3060"/>
            <w:vAlign w:val="top"/>
            <w:tcMar>
              <w:top w:w="90" w:type="dxa"/>
              <w:start w:w="120" w:type="dxa"/>
              <w:bottom w:w="90" w:type="dxa"/>
              <w:end w:w="120" w:type="dxa"/>
            </w:tcMar>
          </w:tcPr>
          <w:p>
            <w:pPr>
              <w:spacing w:after="0" w:line="250" w:lineRule="auto"/>
            </w:pPr>
            <w:r/>
            <w:r>
              <w:rPr>
                <w:rFonts w:ascii="Aptos" w:hAnsi="Aptos"/>
                <w:b w:val="0"/>
                <w:color w:val="1D2433"/>
                <w:sz w:val="15"/>
              </w:rPr>
              <w:t>Dashboard links to active definition version.</w:t>
            </w:r>
          </w:p>
        </w:tc>
      </w:tr>
      <w:tr>
        <w:tc>
          <w:tcPr>
            <w:tcW w:type="dxa" w:w="8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DAT-002</w:t>
            </w:r>
          </w:p>
        </w:tc>
        <w:tc>
          <w:tcPr>
            <w:tcW w:type="dxa" w:w="54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Separate observed, attributed, modelled and experimentally incremental outcomes.</w:t>
            </w:r>
          </w:p>
        </w:tc>
        <w:tc>
          <w:tcPr>
            <w:tcW w:type="dxa" w:w="30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Labels and exports retain classification.</w:t>
            </w:r>
          </w:p>
        </w:tc>
      </w:tr>
      <w:tr>
        <w:tc>
          <w:tcPr>
            <w:tcW w:type="dxa" w:w="850"/>
            <w:vAlign w:val="top"/>
            <w:tcMar>
              <w:top w:w="90" w:type="dxa"/>
              <w:start w:w="120" w:type="dxa"/>
              <w:bottom w:w="90" w:type="dxa"/>
              <w:end w:w="120" w:type="dxa"/>
            </w:tcMar>
          </w:tcPr>
          <w:p>
            <w:pPr>
              <w:spacing w:after="0" w:line="250" w:lineRule="auto"/>
            </w:pPr>
            <w:r/>
            <w:r>
              <w:rPr>
                <w:rFonts w:ascii="Aptos" w:hAnsi="Aptos"/>
                <w:b w:val="0"/>
                <w:color w:val="1D2433"/>
                <w:sz w:val="15"/>
              </w:rPr>
              <w:t>DAT-003</w:t>
            </w:r>
          </w:p>
        </w:tc>
        <w:tc>
          <w:tcPr>
            <w:tcW w:type="dxa" w:w="5450"/>
            <w:vAlign w:val="top"/>
            <w:tcMar>
              <w:top w:w="90" w:type="dxa"/>
              <w:start w:w="120" w:type="dxa"/>
              <w:bottom w:w="90" w:type="dxa"/>
              <w:end w:w="120" w:type="dxa"/>
            </w:tcMar>
          </w:tcPr>
          <w:p>
            <w:pPr>
              <w:spacing w:after="0" w:line="250" w:lineRule="auto"/>
            </w:pPr>
            <w:r/>
            <w:r>
              <w:rPr>
                <w:rFonts w:ascii="Aptos" w:hAnsi="Aptos"/>
                <w:b w:val="0"/>
                <w:color w:val="1D2433"/>
                <w:sz w:val="15"/>
              </w:rPr>
              <w:t>Apply late-arriving and corrected events through reproducible transformations.</w:t>
            </w:r>
          </w:p>
        </w:tc>
        <w:tc>
          <w:tcPr>
            <w:tcW w:type="dxa" w:w="3060"/>
            <w:vAlign w:val="top"/>
            <w:tcMar>
              <w:top w:w="90" w:type="dxa"/>
              <w:start w:w="120" w:type="dxa"/>
              <w:bottom w:w="90" w:type="dxa"/>
              <w:end w:w="120" w:type="dxa"/>
            </w:tcMar>
          </w:tcPr>
          <w:p>
            <w:pPr>
              <w:spacing w:after="0" w:line="250" w:lineRule="auto"/>
            </w:pPr>
            <w:r/>
            <w:r>
              <w:rPr>
                <w:rFonts w:ascii="Aptos" w:hAnsi="Aptos"/>
                <w:b w:val="0"/>
                <w:color w:val="1D2433"/>
                <w:sz w:val="15"/>
              </w:rPr>
              <w:t>Backfill test updates affected periods without duplication.</w:t>
            </w:r>
          </w:p>
        </w:tc>
      </w:tr>
      <w:tr>
        <w:tc>
          <w:tcPr>
            <w:tcW w:type="dxa" w:w="8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DAT-004</w:t>
            </w:r>
          </w:p>
        </w:tc>
        <w:tc>
          <w:tcPr>
            <w:tcW w:type="dxa" w:w="54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Restrict raw personal data; use pseudonymous analytical identifiers and approved views.</w:t>
            </w:r>
          </w:p>
        </w:tc>
        <w:tc>
          <w:tcPr>
            <w:tcW w:type="dxa" w:w="30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Warehouse access and column-classification tests pass.</w:t>
            </w:r>
          </w:p>
        </w:tc>
      </w:tr>
      <w:tr>
        <w:tc>
          <w:tcPr>
            <w:tcW w:type="dxa" w:w="850"/>
            <w:vAlign w:val="top"/>
            <w:tcMar>
              <w:top w:w="90" w:type="dxa"/>
              <w:start w:w="120" w:type="dxa"/>
              <w:bottom w:w="90" w:type="dxa"/>
              <w:end w:w="120" w:type="dxa"/>
            </w:tcMar>
          </w:tcPr>
          <w:p>
            <w:pPr>
              <w:spacing w:after="0" w:line="250" w:lineRule="auto"/>
            </w:pPr>
            <w:r/>
            <w:r>
              <w:rPr>
                <w:rFonts w:ascii="Aptos" w:hAnsi="Aptos"/>
                <w:b w:val="0"/>
                <w:color w:val="1D2433"/>
                <w:sz w:val="15"/>
              </w:rPr>
              <w:t>DAT-005</w:t>
            </w:r>
          </w:p>
        </w:tc>
        <w:tc>
          <w:tcPr>
            <w:tcW w:type="dxa" w:w="5450"/>
            <w:vAlign w:val="top"/>
            <w:tcMar>
              <w:top w:w="90" w:type="dxa"/>
              <w:start w:w="120" w:type="dxa"/>
              <w:bottom w:w="90" w:type="dxa"/>
              <w:end w:w="120" w:type="dxa"/>
            </w:tcMar>
          </w:tcPr>
          <w:p>
            <w:pPr>
              <w:spacing w:after="0" w:line="250" w:lineRule="auto"/>
            </w:pPr>
            <w:r/>
            <w:r>
              <w:rPr>
                <w:rFonts w:ascii="Aptos" w:hAnsi="Aptos"/>
                <w:b w:val="0"/>
                <w:color w:val="1D2433"/>
                <w:sz w:val="15"/>
              </w:rPr>
              <w:t>Expose data freshness and quality status on every operational dashboard.</w:t>
            </w:r>
          </w:p>
        </w:tc>
        <w:tc>
          <w:tcPr>
            <w:tcW w:type="dxa" w:w="3060"/>
            <w:vAlign w:val="top"/>
            <w:tcMar>
              <w:top w:w="90" w:type="dxa"/>
              <w:start w:w="120" w:type="dxa"/>
              <w:bottom w:w="90" w:type="dxa"/>
              <w:end w:w="120" w:type="dxa"/>
            </w:tcMar>
          </w:tcPr>
          <w:p>
            <w:pPr>
              <w:spacing w:after="0" w:line="250" w:lineRule="auto"/>
            </w:pPr>
            <w:r/>
            <w:r>
              <w:rPr>
                <w:rFonts w:ascii="Aptos" w:hAnsi="Aptos"/>
                <w:b w:val="0"/>
                <w:color w:val="1D2433"/>
                <w:sz w:val="15"/>
              </w:rPr>
              <w:t>Stale/incomplete feed test visibly marks affected metrics.</w:t>
            </w:r>
          </w:p>
        </w:tc>
      </w:tr>
    </w:tbl>
    <w:p>
      <w:pPr>
        <w:spacing w:after="20"/>
      </w:pPr>
    </w:p>
    <w:p>
      <w:pPr>
        <w:pStyle w:val="Heading1"/>
        <w:keepNext/>
      </w:pPr>
      <w:r>
        <w:t>16. Privacy, RGPD and child safeguards</w:t>
      </w:r>
    </w:p>
    <w:p>
      <w:pPr>
        <w:pStyle w:val="Heading2"/>
        <w:keepNext/>
      </w:pPr>
      <w:r>
        <w:t>16.1 Roles and records</w:t>
      </w:r>
    </w:p>
    <w:p>
      <w:r>
        <w:rPr>
          <w:rFonts w:ascii="Aptos" w:hAnsi="Aptos"/>
          <w:b w:val="0"/>
          <w:i w:val="0"/>
          <w:color w:val="1D2433"/>
          <w:sz w:val="19"/>
        </w:rPr>
        <w:t>Quantum Park is expected to act as controller for Quantum Club customer data. Every infrastructure, messaging, wallet, payment, analytics and support provider must be classified and documented as processor, subprocessor or independent controller as applicable. The production service must maintain records of processing inputs, approved purposes, retention schedules, processor inventory and data-transfer mechanisms.</w:t>
      </w:r>
    </w:p>
    <w:p>
      <w:pPr>
        <w:pStyle w:val="Heading2"/>
        <w:keepNext/>
      </w:pPr>
      <w:r>
        <w:t>16.2 Consent and preference model</w:t>
      </w:r>
    </w:p>
    <w:tbl>
      <w:tblPr>
        <w:tblStyle w:val="TableGrid"/>
        <w:tblW w:type="dxa" w:w="9360"/>
        <w:jc w:val="left"/>
        <w:tblLayout w:type="fixed"/>
        <w:tblLook w:firstColumn="1" w:firstRow="1" w:lastColumn="0" w:lastRow="0" w:noHBand="0" w:noVBand="1" w:val="04A0"/>
        <w:tblInd w:w="120" w:type="dxa"/>
      </w:tblPr>
      <w:tblGrid>
        <w:gridCol w:w="850"/>
        <w:gridCol w:w="5450"/>
        <w:gridCol w:w="3060"/>
      </w:tblGrid>
      <w:tr>
        <w:trPr>
          <w:tblHeader w:val="true"/>
        </w:trPr>
        <w:tc>
          <w:tcPr>
            <w:tcW w:type="dxa" w:w="850"/>
            <w:vAlign w:val="center"/>
            <w:shd w:fill="0B2545"/>
            <w:tcMar>
              <w:top w:w="90" w:type="dxa"/>
              <w:start w:w="120" w:type="dxa"/>
              <w:bottom w:w="90" w:type="dxa"/>
              <w:end w:w="120" w:type="dxa"/>
            </w:tcMar>
          </w:tcPr>
          <w:p>
            <w:pPr>
              <w:spacing w:after="0"/>
            </w:pPr>
            <w:r/>
            <w:r>
              <w:rPr>
                <w:rFonts w:ascii="Aptos" w:hAnsi="Aptos"/>
                <w:b/>
                <w:color w:val="FFFFFF"/>
                <w:sz w:val="15"/>
              </w:rPr>
              <w:t>ID</w:t>
            </w:r>
          </w:p>
        </w:tc>
        <w:tc>
          <w:tcPr>
            <w:tcW w:type="dxa" w:w="5450"/>
            <w:shd w:fill="0B2545"/>
            <w:tcMar>
              <w:top w:w="90" w:type="dxa"/>
              <w:start w:w="120" w:type="dxa"/>
              <w:bottom w:w="90" w:type="dxa"/>
              <w:end w:w="120" w:type="dxa"/>
            </w:tcMar>
          </w:tcPr>
          <w:p>
            <w:pPr>
              <w:spacing w:after="0"/>
            </w:pPr>
            <w:r/>
            <w:r>
              <w:rPr>
                <w:rFonts w:ascii="Aptos" w:hAnsi="Aptos"/>
                <w:b/>
                <w:color w:val="FFFFFF"/>
                <w:sz w:val="15"/>
              </w:rPr>
              <w:t>Production requirement</w:t>
            </w:r>
          </w:p>
        </w:tc>
        <w:tc>
          <w:tcPr>
            <w:tcW w:type="dxa" w:w="3060"/>
            <w:shd w:fill="0B2545"/>
            <w:tcMar>
              <w:top w:w="90" w:type="dxa"/>
              <w:start w:w="120" w:type="dxa"/>
              <w:bottom w:w="90" w:type="dxa"/>
              <w:end w:w="120" w:type="dxa"/>
            </w:tcMar>
          </w:tcPr>
          <w:p>
            <w:pPr>
              <w:spacing w:after="0"/>
            </w:pPr>
            <w:r/>
            <w:r>
              <w:rPr>
                <w:rFonts w:ascii="Aptos" w:hAnsi="Aptos"/>
                <w:b/>
                <w:color w:val="FFFFFF"/>
                <w:sz w:val="15"/>
              </w:rPr>
              <w:t>Acceptance evidence</w:t>
            </w:r>
          </w:p>
        </w:tc>
      </w:tr>
      <w:tr>
        <w:tc>
          <w:tcPr>
            <w:tcW w:type="dxa" w:w="850"/>
            <w:vAlign w:val="top"/>
            <w:tcMar>
              <w:top w:w="90" w:type="dxa"/>
              <w:start w:w="120" w:type="dxa"/>
              <w:bottom w:w="90" w:type="dxa"/>
              <w:end w:w="120" w:type="dxa"/>
            </w:tcMar>
          </w:tcPr>
          <w:p>
            <w:pPr>
              <w:spacing w:after="0" w:line="250" w:lineRule="auto"/>
            </w:pPr>
            <w:r/>
            <w:r>
              <w:rPr>
                <w:rFonts w:ascii="Aptos" w:hAnsi="Aptos"/>
                <w:b w:val="0"/>
                <w:color w:val="1D2433"/>
                <w:sz w:val="15"/>
              </w:rPr>
              <w:t>PRV-001</w:t>
            </w:r>
          </w:p>
        </w:tc>
        <w:tc>
          <w:tcPr>
            <w:tcW w:type="dxa" w:w="5450"/>
            <w:vAlign w:val="top"/>
            <w:tcMar>
              <w:top w:w="90" w:type="dxa"/>
              <w:start w:w="120" w:type="dxa"/>
              <w:bottom w:w="90" w:type="dxa"/>
              <w:end w:w="120" w:type="dxa"/>
            </w:tcMar>
          </w:tcPr>
          <w:p>
            <w:pPr>
              <w:spacing w:after="0" w:line="250" w:lineRule="auto"/>
            </w:pPr>
            <w:r/>
            <w:r>
              <w:rPr>
                <w:rFonts w:ascii="Aptos" w:hAnsi="Aptos"/>
                <w:b w:val="0"/>
                <w:color w:val="1D2433"/>
                <w:sz w:val="15"/>
              </w:rPr>
              <w:t>Record consent by account/household, purpose, channel, wording version, locale, source, timestamp and proof.</w:t>
            </w:r>
          </w:p>
        </w:tc>
        <w:tc>
          <w:tcPr>
            <w:tcW w:type="dxa" w:w="3060"/>
            <w:vAlign w:val="top"/>
            <w:tcMar>
              <w:top w:w="90" w:type="dxa"/>
              <w:start w:w="120" w:type="dxa"/>
              <w:bottom w:w="90" w:type="dxa"/>
              <w:end w:w="120" w:type="dxa"/>
            </w:tcMar>
          </w:tcPr>
          <w:p>
            <w:pPr>
              <w:spacing w:after="0" w:line="250" w:lineRule="auto"/>
            </w:pPr>
            <w:r/>
            <w:r>
              <w:rPr>
                <w:rFonts w:ascii="Aptos" w:hAnsi="Aptos"/>
                <w:b w:val="0"/>
                <w:color w:val="1D2433"/>
                <w:sz w:val="15"/>
              </w:rPr>
              <w:t>Evidence export reconstructs the exact decision context.</w:t>
            </w:r>
          </w:p>
        </w:tc>
      </w:tr>
      <w:tr>
        <w:tc>
          <w:tcPr>
            <w:tcW w:type="dxa" w:w="8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PRV-002</w:t>
            </w:r>
          </w:p>
        </w:tc>
        <w:tc>
          <w:tcPr>
            <w:tcW w:type="dxa" w:w="54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Allow withdrawal as easily as grant and propagate suppression promptly.</w:t>
            </w:r>
          </w:p>
        </w:tc>
        <w:tc>
          <w:tcPr>
            <w:tcW w:type="dxa" w:w="30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End-to-end withdrawal test blocks queued and future marketing.</w:t>
            </w:r>
          </w:p>
        </w:tc>
      </w:tr>
      <w:tr>
        <w:tc>
          <w:tcPr>
            <w:tcW w:type="dxa" w:w="850"/>
            <w:vAlign w:val="top"/>
            <w:tcMar>
              <w:top w:w="90" w:type="dxa"/>
              <w:start w:w="120" w:type="dxa"/>
              <w:bottom w:w="90" w:type="dxa"/>
              <w:end w:w="120" w:type="dxa"/>
            </w:tcMar>
          </w:tcPr>
          <w:p>
            <w:pPr>
              <w:spacing w:after="0" w:line="250" w:lineRule="auto"/>
            </w:pPr>
            <w:r/>
            <w:r>
              <w:rPr>
                <w:rFonts w:ascii="Aptos" w:hAnsi="Aptos"/>
                <w:b w:val="0"/>
                <w:color w:val="1D2433"/>
                <w:sz w:val="15"/>
              </w:rPr>
              <w:t>PRV-003</w:t>
            </w:r>
          </w:p>
        </w:tc>
        <w:tc>
          <w:tcPr>
            <w:tcW w:type="dxa" w:w="5450"/>
            <w:vAlign w:val="top"/>
            <w:tcMar>
              <w:top w:w="90" w:type="dxa"/>
              <w:start w:w="120" w:type="dxa"/>
              <w:bottom w:w="90" w:type="dxa"/>
              <w:end w:w="120" w:type="dxa"/>
            </w:tcMar>
          </w:tcPr>
          <w:p>
            <w:pPr>
              <w:spacing w:after="0" w:line="250" w:lineRule="auto"/>
            </w:pPr>
            <w:r/>
            <w:r>
              <w:rPr>
                <w:rFonts w:ascii="Aptos" w:hAnsi="Aptos"/>
                <w:b w:val="0"/>
                <w:color w:val="1D2433"/>
                <w:sz w:val="15"/>
              </w:rPr>
              <w:t>Do not bundle necessary service operation with optional marketing or geolocation consent.</w:t>
            </w:r>
          </w:p>
        </w:tc>
        <w:tc>
          <w:tcPr>
            <w:tcW w:type="dxa" w:w="3060"/>
            <w:vAlign w:val="top"/>
            <w:tcMar>
              <w:top w:w="90" w:type="dxa"/>
              <w:start w:w="120" w:type="dxa"/>
              <w:bottom w:w="90" w:type="dxa"/>
              <w:end w:w="120" w:type="dxa"/>
            </w:tcMar>
          </w:tcPr>
          <w:p>
            <w:pPr>
              <w:spacing w:after="0" w:line="250" w:lineRule="auto"/>
            </w:pPr>
            <w:r/>
            <w:r>
              <w:rPr>
                <w:rFonts w:ascii="Aptos" w:hAnsi="Aptos"/>
                <w:b w:val="0"/>
                <w:color w:val="1D2433"/>
                <w:sz w:val="15"/>
              </w:rPr>
              <w:t>UI and API validation reject bundled consent.</w:t>
            </w:r>
          </w:p>
        </w:tc>
      </w:tr>
      <w:tr>
        <w:tc>
          <w:tcPr>
            <w:tcW w:type="dxa" w:w="8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PRV-004</w:t>
            </w:r>
          </w:p>
        </w:tc>
        <w:tc>
          <w:tcPr>
            <w:tcW w:type="dxa" w:w="54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Maintain legitimate-interest or contractual-purpose records separately where used.</w:t>
            </w:r>
          </w:p>
        </w:tc>
        <w:tc>
          <w:tcPr>
            <w:tcW w:type="dxa" w:w="30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Each processing activity has approved purpose and retention.</w:t>
            </w:r>
          </w:p>
        </w:tc>
      </w:tr>
      <w:tr>
        <w:tc>
          <w:tcPr>
            <w:tcW w:type="dxa" w:w="850"/>
            <w:vAlign w:val="top"/>
            <w:tcMar>
              <w:top w:w="90" w:type="dxa"/>
              <w:start w:w="120" w:type="dxa"/>
              <w:bottom w:w="90" w:type="dxa"/>
              <w:end w:w="120" w:type="dxa"/>
            </w:tcMar>
          </w:tcPr>
          <w:p>
            <w:pPr>
              <w:spacing w:after="0" w:line="250" w:lineRule="auto"/>
            </w:pPr>
            <w:r/>
            <w:r>
              <w:rPr>
                <w:rFonts w:ascii="Aptos" w:hAnsi="Aptos"/>
                <w:b w:val="0"/>
                <w:color w:val="1D2433"/>
                <w:sz w:val="15"/>
              </w:rPr>
              <w:t>PRV-005</w:t>
            </w:r>
          </w:p>
        </w:tc>
        <w:tc>
          <w:tcPr>
            <w:tcW w:type="dxa" w:w="5450"/>
            <w:vAlign w:val="top"/>
            <w:tcMar>
              <w:top w:w="90" w:type="dxa"/>
              <w:start w:w="120" w:type="dxa"/>
              <w:bottom w:w="90" w:type="dxa"/>
              <w:end w:w="120" w:type="dxa"/>
            </w:tcMar>
          </w:tcPr>
          <w:p>
            <w:pPr>
              <w:spacing w:after="0" w:line="250" w:lineRule="auto"/>
            </w:pPr>
            <w:r/>
            <w:r>
              <w:rPr>
                <w:rFonts w:ascii="Aptos" w:hAnsi="Aptos"/>
                <w:b w:val="0"/>
                <w:color w:val="1D2433"/>
                <w:sz w:val="15"/>
              </w:rPr>
              <w:t>Provide preference centre for channels, topics, parks, frequency and optional geolocation.</w:t>
            </w:r>
          </w:p>
        </w:tc>
        <w:tc>
          <w:tcPr>
            <w:tcW w:type="dxa" w:w="3060"/>
            <w:vAlign w:val="top"/>
            <w:tcMar>
              <w:top w:w="90" w:type="dxa"/>
              <w:start w:w="120" w:type="dxa"/>
              <w:bottom w:w="90" w:type="dxa"/>
              <w:end w:w="120" w:type="dxa"/>
            </w:tcMar>
          </w:tcPr>
          <w:p>
            <w:pPr>
              <w:spacing w:after="0" w:line="250" w:lineRule="auto"/>
            </w:pPr>
            <w:r/>
            <w:r>
              <w:rPr>
                <w:rFonts w:ascii="Aptos" w:hAnsi="Aptos"/>
                <w:b w:val="0"/>
                <w:color w:val="1D2433"/>
                <w:sz w:val="15"/>
              </w:rPr>
              <w:t>Changes take effect within defined SLO and are auditable.</w:t>
            </w:r>
          </w:p>
        </w:tc>
      </w:tr>
    </w:tbl>
    <w:p>
      <w:pPr>
        <w:spacing w:after="20"/>
      </w:pPr>
    </w:p>
    <w:p>
      <w:pPr>
        <w:pStyle w:val="Heading2"/>
        <w:keepNext/>
      </w:pPr>
      <w:r>
        <w:t>16.3 Child and family protections</w:t>
      </w:r>
    </w:p>
    <w:p>
      <w:pPr>
        <w:pStyle w:val="ListBullet"/>
      </w:pPr>
      <w:r>
        <w:rPr>
          <w:rFonts w:ascii="Aptos" w:hAnsi="Aptos"/>
          <w:b w:val="0"/>
          <w:color w:val="1D2433"/>
          <w:sz w:val="19"/>
        </w:rPr>
        <w:t>An adult creates and controls dependant profiles unless a separately approved age policy permits otherwise.</w:t>
      </w:r>
    </w:p>
    <w:p>
      <w:pPr>
        <w:pStyle w:val="ListBullet"/>
      </w:pPr>
      <w:r>
        <w:rPr>
          <w:rFonts w:ascii="Aptos" w:hAnsi="Aptos"/>
          <w:b w:val="0"/>
          <w:color w:val="1D2433"/>
          <w:sz w:val="19"/>
        </w:rPr>
        <w:t>Collect the least data needed; full birth date is not mandatory when age band or month/day suffices for the purpose.</w:t>
      </w:r>
    </w:p>
    <w:p>
      <w:pPr>
        <w:pStyle w:val="ListBullet"/>
      </w:pPr>
      <w:r>
        <w:rPr>
          <w:rFonts w:ascii="Aptos" w:hAnsi="Aptos"/>
          <w:b w:val="0"/>
          <w:color w:val="1D2433"/>
          <w:sz w:val="19"/>
        </w:rPr>
        <w:t>Do not send marketing directly to dependant contact details by default.</w:t>
      </w:r>
    </w:p>
    <w:p>
      <w:pPr>
        <w:pStyle w:val="ListBullet"/>
      </w:pPr>
      <w:r>
        <w:rPr>
          <w:rFonts w:ascii="Aptos" w:hAnsi="Aptos"/>
          <w:b w:val="0"/>
          <w:color w:val="1D2433"/>
          <w:sz w:val="19"/>
        </w:rPr>
        <w:t>Do not expose a child’s full name, birthday or household relationship on a card or staff screen unless operationally necessary.</w:t>
      </w:r>
    </w:p>
    <w:p>
      <w:pPr>
        <w:pStyle w:val="ListBullet"/>
      </w:pPr>
      <w:r>
        <w:rPr>
          <w:rFonts w:ascii="Aptos" w:hAnsi="Aptos"/>
          <w:b w:val="0"/>
          <w:color w:val="1D2433"/>
          <w:sz w:val="19"/>
        </w:rPr>
        <w:t>Do not use behavioural scoring to pressure a child or create sensitive inferences.</w:t>
      </w:r>
    </w:p>
    <w:p>
      <w:pPr>
        <w:pStyle w:val="ListBullet"/>
      </w:pPr>
      <w:r>
        <w:rPr>
          <w:rFonts w:ascii="Aptos" w:hAnsi="Aptos"/>
          <w:b w:val="0"/>
          <w:color w:val="1D2433"/>
          <w:sz w:val="19"/>
        </w:rPr>
        <w:t>Birthday journeys address the authorised adult and use age-appropriate content.</w:t>
      </w:r>
    </w:p>
    <w:p>
      <w:pPr>
        <w:pStyle w:val="ListBullet"/>
      </w:pPr>
      <w:r>
        <w:rPr>
          <w:rFonts w:ascii="Aptos" w:hAnsi="Aptos"/>
          <w:b w:val="0"/>
          <w:color w:val="1D2433"/>
          <w:sz w:val="19"/>
        </w:rPr>
        <w:t>Household disputes, guardian changes and data corrections use human-reviewed cases.</w:t>
      </w:r>
    </w:p>
    <w:p>
      <w:pPr>
        <w:pStyle w:val="Heading2"/>
        <w:keepNext/>
      </w:pPr>
      <w:r>
        <w:t>16.4 Data subject rights</w:t>
      </w:r>
    </w:p>
    <w:p>
      <w:pPr>
        <w:pStyle w:val="ListBullet"/>
      </w:pPr>
      <w:r>
        <w:rPr>
          <w:rFonts w:ascii="Aptos" w:hAnsi="Aptos"/>
          <w:b w:val="0"/>
          <w:color w:val="1D2433"/>
          <w:sz w:val="19"/>
        </w:rPr>
        <w:t>Authenticated self-service access and correction for ordinary profile fields.</w:t>
      </w:r>
    </w:p>
    <w:p>
      <w:pPr>
        <w:pStyle w:val="ListBullet"/>
      </w:pPr>
      <w:r>
        <w:rPr>
          <w:rFonts w:ascii="Aptos" w:hAnsi="Aptos"/>
          <w:b w:val="0"/>
          <w:color w:val="1D2433"/>
          <w:sz w:val="19"/>
        </w:rPr>
        <w:t>Case workflow for access, portable export, objection, restriction, erasure and consent evidence.</w:t>
      </w:r>
    </w:p>
    <w:p>
      <w:pPr>
        <w:pStyle w:val="ListBullet"/>
      </w:pPr>
      <w:r>
        <w:rPr>
          <w:rFonts w:ascii="Aptos" w:hAnsi="Aptos"/>
          <w:b w:val="0"/>
          <w:color w:val="1D2433"/>
          <w:sz w:val="19"/>
        </w:rPr>
        <w:t>Identity verification proportionate to risk without collecting excessive new documentation.</w:t>
      </w:r>
    </w:p>
    <w:p>
      <w:pPr>
        <w:pStyle w:val="ListBullet"/>
      </w:pPr>
      <w:r>
        <w:rPr>
          <w:rFonts w:ascii="Aptos" w:hAnsi="Aptos"/>
          <w:b w:val="0"/>
          <w:color w:val="1D2433"/>
          <w:sz w:val="19"/>
        </w:rPr>
        <w:t>Machine-readable export covering profile, household, ledger, rewards, visits, bookings linked into Quantum Club, communications and consent.</w:t>
      </w:r>
    </w:p>
    <w:p>
      <w:pPr>
        <w:pStyle w:val="ListBullet"/>
      </w:pPr>
      <w:r>
        <w:rPr>
          <w:rFonts w:ascii="Aptos" w:hAnsi="Aptos"/>
          <w:b w:val="0"/>
          <w:color w:val="1D2433"/>
          <w:sz w:val="19"/>
        </w:rPr>
        <w:t>Selective deletion/anonymisation according to retention rules; immutable financial/security evidence is restricted rather than falsely erased.</w:t>
      </w:r>
    </w:p>
    <w:p>
      <w:pPr>
        <w:pStyle w:val="ListBullet"/>
      </w:pPr>
      <w:r>
        <w:rPr>
          <w:rFonts w:ascii="Aptos" w:hAnsi="Aptos"/>
          <w:b w:val="0"/>
          <w:color w:val="1D2433"/>
          <w:sz w:val="19"/>
        </w:rPr>
        <w:t>Processor propagation and completion evidence.</w:t>
      </w:r>
    </w:p>
    <w:p>
      <w:pPr>
        <w:pStyle w:val="Heading2"/>
        <w:keepNext/>
      </w:pPr>
      <w:r>
        <w:t>16.5 Retention policy capabilities</w:t>
      </w:r>
    </w:p>
    <w:tbl>
      <w:tblPr>
        <w:tblStyle w:val="TableGrid"/>
        <w:tblW w:type="dxa" w:w="9360"/>
        <w:jc w:val="left"/>
        <w:tblLayout w:type="fixed"/>
        <w:tblLook w:firstColumn="1" w:firstRow="1" w:lastColumn="0" w:lastRow="0" w:noHBand="0" w:noVBand="1" w:val="04A0"/>
        <w:tblInd w:w="120" w:type="dxa"/>
      </w:tblPr>
      <w:tblGrid>
        <w:gridCol w:w="2000"/>
        <w:gridCol w:w="7360"/>
      </w:tblGrid>
      <w:tr>
        <w:trPr>
          <w:tblHeader w:val="true"/>
        </w:trPr>
        <w:tc>
          <w:tcPr>
            <w:tcW w:type="dxa" w:w="2000"/>
            <w:vAlign w:val="center"/>
            <w:shd w:fill="0B2545"/>
            <w:tcMar>
              <w:top w:w="90" w:type="dxa"/>
              <w:start w:w="120" w:type="dxa"/>
              <w:bottom w:w="90" w:type="dxa"/>
              <w:end w:w="120" w:type="dxa"/>
            </w:tcMar>
          </w:tcPr>
          <w:p>
            <w:pPr>
              <w:spacing w:after="0"/>
            </w:pPr>
            <w:r/>
            <w:r>
              <w:rPr>
                <w:rFonts w:ascii="Aptos" w:hAnsi="Aptos"/>
                <w:b/>
                <w:color w:val="FFFFFF"/>
                <w:sz w:val="15"/>
              </w:rPr>
              <w:t>Data class</w:t>
            </w:r>
          </w:p>
        </w:tc>
        <w:tc>
          <w:tcPr>
            <w:tcW w:type="dxa" w:w="7360"/>
            <w:shd w:fill="0B2545"/>
            <w:tcMar>
              <w:top w:w="90" w:type="dxa"/>
              <w:start w:w="120" w:type="dxa"/>
              <w:bottom w:w="90" w:type="dxa"/>
              <w:end w:w="120" w:type="dxa"/>
            </w:tcMar>
          </w:tcPr>
          <w:p>
            <w:pPr>
              <w:spacing w:after="0"/>
            </w:pPr>
            <w:r/>
            <w:r>
              <w:rPr>
                <w:rFonts w:ascii="Aptos" w:hAnsi="Aptos"/>
                <w:b/>
                <w:color w:val="FFFFFF"/>
                <w:sz w:val="15"/>
              </w:rPr>
              <w:t>Required capability</w:t>
            </w:r>
          </w:p>
        </w:tc>
      </w:tr>
      <w:tr>
        <w:tc>
          <w:tcPr>
            <w:tcW w:type="dxa" w:w="2000"/>
            <w:vAlign w:val="top"/>
            <w:tcMar>
              <w:top w:w="90" w:type="dxa"/>
              <w:start w:w="120" w:type="dxa"/>
              <w:bottom w:w="90" w:type="dxa"/>
              <w:end w:w="120" w:type="dxa"/>
            </w:tcMar>
          </w:tcPr>
          <w:p>
            <w:pPr>
              <w:spacing w:after="0" w:line="250" w:lineRule="auto"/>
            </w:pPr>
            <w:r/>
            <w:r>
              <w:rPr>
                <w:rFonts w:ascii="Aptos" w:hAnsi="Aptos"/>
                <w:b w:val="0"/>
                <w:color w:val="1D2433"/>
                <w:sz w:val="15"/>
              </w:rPr>
              <w:t>Account/profile</w:t>
            </w:r>
          </w:p>
        </w:tc>
        <w:tc>
          <w:tcPr>
            <w:tcW w:type="dxa" w:w="7360"/>
            <w:vAlign w:val="top"/>
            <w:tcMar>
              <w:top w:w="90" w:type="dxa"/>
              <w:start w:w="120" w:type="dxa"/>
              <w:bottom w:w="90" w:type="dxa"/>
              <w:end w:w="120" w:type="dxa"/>
            </w:tcMar>
          </w:tcPr>
          <w:p>
            <w:pPr>
              <w:spacing w:after="0" w:line="250" w:lineRule="auto"/>
            </w:pPr>
            <w:r/>
            <w:r>
              <w:rPr>
                <w:rFonts w:ascii="Aptos" w:hAnsi="Aptos"/>
                <w:b w:val="0"/>
                <w:color w:val="1D2433"/>
                <w:sz w:val="15"/>
              </w:rPr>
              <w:t>Active relationship plus configurable inactivity period; warn before deletion where appropriate.</w:t>
            </w:r>
          </w:p>
        </w:tc>
      </w:tr>
      <w:tr>
        <w:tc>
          <w:tcPr>
            <w:tcW w:type="dxa" w:w="20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Consent evidence</w:t>
            </w:r>
          </w:p>
        </w:tc>
        <w:tc>
          <w:tcPr>
            <w:tcW w:type="dxa" w:w="73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Retain as necessary to prove permission/withdrawal and legal compliance.</w:t>
            </w:r>
          </w:p>
        </w:tc>
      </w:tr>
      <w:tr>
        <w:tc>
          <w:tcPr>
            <w:tcW w:type="dxa" w:w="2000"/>
            <w:vAlign w:val="top"/>
            <w:tcMar>
              <w:top w:w="90" w:type="dxa"/>
              <w:start w:w="120" w:type="dxa"/>
              <w:bottom w:w="90" w:type="dxa"/>
              <w:end w:w="120" w:type="dxa"/>
            </w:tcMar>
          </w:tcPr>
          <w:p>
            <w:pPr>
              <w:spacing w:after="0" w:line="250" w:lineRule="auto"/>
            </w:pPr>
            <w:r/>
            <w:r>
              <w:rPr>
                <w:rFonts w:ascii="Aptos" w:hAnsi="Aptos"/>
                <w:b w:val="0"/>
                <w:color w:val="1D2433"/>
                <w:sz w:val="15"/>
              </w:rPr>
              <w:t>Bookings/financial records</w:t>
            </w:r>
          </w:p>
        </w:tc>
        <w:tc>
          <w:tcPr>
            <w:tcW w:type="dxa" w:w="7360"/>
            <w:vAlign w:val="top"/>
            <w:tcMar>
              <w:top w:w="90" w:type="dxa"/>
              <w:start w:w="120" w:type="dxa"/>
              <w:bottom w:w="90" w:type="dxa"/>
              <w:end w:w="120" w:type="dxa"/>
            </w:tcMar>
          </w:tcPr>
          <w:p>
            <w:pPr>
              <w:spacing w:after="0" w:line="250" w:lineRule="auto"/>
            </w:pPr>
            <w:r/>
            <w:r>
              <w:rPr>
                <w:rFonts w:ascii="Aptos" w:hAnsi="Aptos"/>
                <w:b w:val="0"/>
                <w:color w:val="1D2433"/>
                <w:sz w:val="15"/>
              </w:rPr>
              <w:t>Retain according to Portuguese accounting, tax and contractual obligations.</w:t>
            </w:r>
          </w:p>
        </w:tc>
      </w:tr>
      <w:tr>
        <w:tc>
          <w:tcPr>
            <w:tcW w:type="dxa" w:w="20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Loyalty ledger</w:t>
            </w:r>
          </w:p>
        </w:tc>
        <w:tc>
          <w:tcPr>
            <w:tcW w:type="dxa" w:w="73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Retain while value/claim remains active, then anonymise or restrict according to approved schedule.</w:t>
            </w:r>
          </w:p>
        </w:tc>
      </w:tr>
      <w:tr>
        <w:tc>
          <w:tcPr>
            <w:tcW w:type="dxa" w:w="2000"/>
            <w:vAlign w:val="top"/>
            <w:tcMar>
              <w:top w:w="90" w:type="dxa"/>
              <w:start w:w="120" w:type="dxa"/>
              <w:bottom w:w="90" w:type="dxa"/>
              <w:end w:w="120" w:type="dxa"/>
            </w:tcMar>
          </w:tcPr>
          <w:p>
            <w:pPr>
              <w:spacing w:after="0" w:line="250" w:lineRule="auto"/>
            </w:pPr>
            <w:r/>
            <w:r>
              <w:rPr>
                <w:rFonts w:ascii="Aptos" w:hAnsi="Aptos"/>
                <w:b w:val="0"/>
                <w:color w:val="1D2433"/>
                <w:sz w:val="15"/>
              </w:rPr>
              <w:t>Campaign events</w:t>
            </w:r>
          </w:p>
        </w:tc>
        <w:tc>
          <w:tcPr>
            <w:tcW w:type="dxa" w:w="7360"/>
            <w:vAlign w:val="top"/>
            <w:tcMar>
              <w:top w:w="90" w:type="dxa"/>
              <w:start w:w="120" w:type="dxa"/>
              <w:bottom w:w="90" w:type="dxa"/>
              <w:end w:w="120" w:type="dxa"/>
            </w:tcMar>
          </w:tcPr>
          <w:p>
            <w:pPr>
              <w:spacing w:after="0" w:line="250" w:lineRule="auto"/>
            </w:pPr>
            <w:r/>
            <w:r>
              <w:rPr>
                <w:rFonts w:ascii="Aptos" w:hAnsi="Aptos"/>
                <w:b w:val="0"/>
                <w:color w:val="1D2433"/>
                <w:sz w:val="15"/>
              </w:rPr>
              <w:t>Shorter event-detail retention; aggregate metrics may persist without identifiable data.</w:t>
            </w:r>
          </w:p>
        </w:tc>
      </w:tr>
      <w:tr>
        <w:tc>
          <w:tcPr>
            <w:tcW w:type="dxa" w:w="20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Precise location</w:t>
            </w:r>
          </w:p>
        </w:tc>
        <w:tc>
          <w:tcPr>
            <w:tcW w:type="dxa" w:w="73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Do not maintain trails; retain minimal trigger/audit evidence only if approved.</w:t>
            </w:r>
          </w:p>
        </w:tc>
      </w:tr>
      <w:tr>
        <w:tc>
          <w:tcPr>
            <w:tcW w:type="dxa" w:w="2000"/>
            <w:vAlign w:val="top"/>
            <w:tcMar>
              <w:top w:w="90" w:type="dxa"/>
              <w:start w:w="120" w:type="dxa"/>
              <w:bottom w:w="90" w:type="dxa"/>
              <w:end w:w="120" w:type="dxa"/>
            </w:tcMar>
          </w:tcPr>
          <w:p>
            <w:pPr>
              <w:spacing w:after="0" w:line="250" w:lineRule="auto"/>
            </w:pPr>
            <w:r/>
            <w:r>
              <w:rPr>
                <w:rFonts w:ascii="Aptos" w:hAnsi="Aptos"/>
                <w:b w:val="0"/>
                <w:color w:val="1D2433"/>
                <w:sz w:val="15"/>
              </w:rPr>
              <w:t>Security/audit logs</w:t>
            </w:r>
          </w:p>
        </w:tc>
        <w:tc>
          <w:tcPr>
            <w:tcW w:type="dxa" w:w="7360"/>
            <w:vAlign w:val="top"/>
            <w:tcMar>
              <w:top w:w="90" w:type="dxa"/>
              <w:start w:w="120" w:type="dxa"/>
              <w:bottom w:w="90" w:type="dxa"/>
              <w:end w:w="120" w:type="dxa"/>
            </w:tcMar>
          </w:tcPr>
          <w:p>
            <w:pPr>
              <w:spacing w:after="0" w:line="250" w:lineRule="auto"/>
            </w:pPr>
            <w:r/>
            <w:r>
              <w:rPr>
                <w:rFonts w:ascii="Aptos" w:hAnsi="Aptos"/>
                <w:b w:val="0"/>
                <w:color w:val="1D2433"/>
                <w:sz w:val="15"/>
              </w:rPr>
              <w:t>Risk-based retention with restricted access and integrity protection.</w:t>
            </w:r>
          </w:p>
        </w:tc>
      </w:tr>
      <w:tr>
        <w:tc>
          <w:tcPr>
            <w:tcW w:type="dxa" w:w="20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Raw integration payloads</w:t>
            </w:r>
          </w:p>
        </w:tc>
        <w:tc>
          <w:tcPr>
            <w:tcW w:type="dxa" w:w="73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Shortest practical diagnostic/reconciliation period, then deletion.</w:t>
            </w:r>
          </w:p>
        </w:tc>
      </w:tr>
    </w:tbl>
    <w:p>
      <w:pPr>
        <w:spacing w:after="20"/>
      </w:pPr>
    </w:p>
    <w:p>
      <w:pPr>
        <w:pStyle w:val="Heading1"/>
        <w:keepNext/>
      </w:pPr>
      <w:r>
        <w:t>17. Security and fraud requirements</w:t>
      </w:r>
    </w:p>
    <w:p>
      <w:pPr>
        <w:pStyle w:val="Heading2"/>
        <w:keepNext/>
      </w:pPr>
      <w:r>
        <w:t>17.1 Security baseline</w:t>
      </w:r>
    </w:p>
    <w:tbl>
      <w:tblPr>
        <w:tblStyle w:val="TableGrid"/>
        <w:tblW w:type="dxa" w:w="9360"/>
        <w:jc w:val="left"/>
        <w:tblLayout w:type="fixed"/>
        <w:tblLook w:firstColumn="1" w:firstRow="1" w:lastColumn="0" w:lastRow="0" w:noHBand="0" w:noVBand="1" w:val="04A0"/>
        <w:tblInd w:w="120" w:type="dxa"/>
      </w:tblPr>
      <w:tblGrid>
        <w:gridCol w:w="850"/>
        <w:gridCol w:w="5450"/>
        <w:gridCol w:w="3060"/>
      </w:tblGrid>
      <w:tr>
        <w:trPr>
          <w:tblHeader w:val="true"/>
        </w:trPr>
        <w:tc>
          <w:tcPr>
            <w:tcW w:type="dxa" w:w="850"/>
            <w:vAlign w:val="center"/>
            <w:shd w:fill="0B2545"/>
            <w:tcMar>
              <w:top w:w="90" w:type="dxa"/>
              <w:start w:w="120" w:type="dxa"/>
              <w:bottom w:w="90" w:type="dxa"/>
              <w:end w:w="120" w:type="dxa"/>
            </w:tcMar>
          </w:tcPr>
          <w:p>
            <w:pPr>
              <w:spacing w:after="0"/>
            </w:pPr>
            <w:r/>
            <w:r>
              <w:rPr>
                <w:rFonts w:ascii="Aptos" w:hAnsi="Aptos"/>
                <w:b/>
                <w:color w:val="FFFFFF"/>
                <w:sz w:val="15"/>
              </w:rPr>
              <w:t>ID</w:t>
            </w:r>
          </w:p>
        </w:tc>
        <w:tc>
          <w:tcPr>
            <w:tcW w:type="dxa" w:w="5450"/>
            <w:shd w:fill="0B2545"/>
            <w:tcMar>
              <w:top w:w="90" w:type="dxa"/>
              <w:start w:w="120" w:type="dxa"/>
              <w:bottom w:w="90" w:type="dxa"/>
              <w:end w:w="120" w:type="dxa"/>
            </w:tcMar>
          </w:tcPr>
          <w:p>
            <w:pPr>
              <w:spacing w:after="0"/>
            </w:pPr>
            <w:r/>
            <w:r>
              <w:rPr>
                <w:rFonts w:ascii="Aptos" w:hAnsi="Aptos"/>
                <w:b/>
                <w:color w:val="FFFFFF"/>
                <w:sz w:val="15"/>
              </w:rPr>
              <w:t>Production requirement</w:t>
            </w:r>
          </w:p>
        </w:tc>
        <w:tc>
          <w:tcPr>
            <w:tcW w:type="dxa" w:w="3060"/>
            <w:shd w:fill="0B2545"/>
            <w:tcMar>
              <w:top w:w="90" w:type="dxa"/>
              <w:start w:w="120" w:type="dxa"/>
              <w:bottom w:w="90" w:type="dxa"/>
              <w:end w:w="120" w:type="dxa"/>
            </w:tcMar>
          </w:tcPr>
          <w:p>
            <w:pPr>
              <w:spacing w:after="0"/>
            </w:pPr>
            <w:r/>
            <w:r>
              <w:rPr>
                <w:rFonts w:ascii="Aptos" w:hAnsi="Aptos"/>
                <w:b/>
                <w:color w:val="FFFFFF"/>
                <w:sz w:val="15"/>
              </w:rPr>
              <w:t>Acceptance evidence</w:t>
            </w:r>
          </w:p>
        </w:tc>
      </w:tr>
      <w:tr>
        <w:tc>
          <w:tcPr>
            <w:tcW w:type="dxa" w:w="850"/>
            <w:vAlign w:val="top"/>
            <w:tcMar>
              <w:top w:w="90" w:type="dxa"/>
              <w:start w:w="120" w:type="dxa"/>
              <w:bottom w:w="90" w:type="dxa"/>
              <w:end w:w="120" w:type="dxa"/>
            </w:tcMar>
          </w:tcPr>
          <w:p>
            <w:pPr>
              <w:spacing w:after="0" w:line="250" w:lineRule="auto"/>
            </w:pPr>
            <w:r/>
            <w:r>
              <w:rPr>
                <w:rFonts w:ascii="Aptos" w:hAnsi="Aptos"/>
                <w:b w:val="0"/>
                <w:color w:val="1D2433"/>
                <w:sz w:val="15"/>
              </w:rPr>
              <w:t>SEC-001</w:t>
            </w:r>
          </w:p>
        </w:tc>
        <w:tc>
          <w:tcPr>
            <w:tcW w:type="dxa" w:w="5450"/>
            <w:vAlign w:val="top"/>
            <w:tcMar>
              <w:top w:w="90" w:type="dxa"/>
              <w:start w:w="120" w:type="dxa"/>
              <w:bottom w:w="90" w:type="dxa"/>
              <w:end w:w="120" w:type="dxa"/>
            </w:tcMar>
          </w:tcPr>
          <w:p>
            <w:pPr>
              <w:spacing w:after="0" w:line="250" w:lineRule="auto"/>
            </w:pPr>
            <w:r/>
            <w:r>
              <w:rPr>
                <w:rFonts w:ascii="Aptos" w:hAnsi="Aptos"/>
                <w:b w:val="0"/>
                <w:color w:val="1D2433"/>
                <w:sz w:val="15"/>
              </w:rPr>
              <w:t>Apply secure software-development lifecycle, threat modelling, dependency scanning, secret scanning, SAST, DAST and reviewed changes.</w:t>
            </w:r>
          </w:p>
        </w:tc>
        <w:tc>
          <w:tcPr>
            <w:tcW w:type="dxa" w:w="3060"/>
            <w:vAlign w:val="top"/>
            <w:tcMar>
              <w:top w:w="90" w:type="dxa"/>
              <w:start w:w="120" w:type="dxa"/>
              <w:bottom w:w="90" w:type="dxa"/>
              <w:end w:w="120" w:type="dxa"/>
            </w:tcMar>
          </w:tcPr>
          <w:p>
            <w:pPr>
              <w:spacing w:after="0" w:line="250" w:lineRule="auto"/>
            </w:pPr>
            <w:r/>
            <w:r>
              <w:rPr>
                <w:rFonts w:ascii="Aptos" w:hAnsi="Aptos"/>
                <w:b w:val="0"/>
                <w:color w:val="1D2433"/>
                <w:sz w:val="15"/>
              </w:rPr>
              <w:t>CI evidence and closed critical/high findings before release.</w:t>
            </w:r>
          </w:p>
        </w:tc>
      </w:tr>
      <w:tr>
        <w:tc>
          <w:tcPr>
            <w:tcW w:type="dxa" w:w="8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SEC-002</w:t>
            </w:r>
          </w:p>
        </w:tc>
        <w:tc>
          <w:tcPr>
            <w:tcW w:type="dxa" w:w="54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Encrypt data in transit and at rest; use managed key services and documented rotation.</w:t>
            </w:r>
          </w:p>
        </w:tc>
        <w:tc>
          <w:tcPr>
            <w:tcW w:type="dxa" w:w="30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Configuration and rotation test evidence.</w:t>
            </w:r>
          </w:p>
        </w:tc>
      </w:tr>
      <w:tr>
        <w:tc>
          <w:tcPr>
            <w:tcW w:type="dxa" w:w="850"/>
            <w:vAlign w:val="top"/>
            <w:tcMar>
              <w:top w:w="90" w:type="dxa"/>
              <w:start w:w="120" w:type="dxa"/>
              <w:bottom w:w="90" w:type="dxa"/>
              <w:end w:w="120" w:type="dxa"/>
            </w:tcMar>
          </w:tcPr>
          <w:p>
            <w:pPr>
              <w:spacing w:after="0" w:line="250" w:lineRule="auto"/>
            </w:pPr>
            <w:r/>
            <w:r>
              <w:rPr>
                <w:rFonts w:ascii="Aptos" w:hAnsi="Aptos"/>
                <w:b w:val="0"/>
                <w:color w:val="1D2433"/>
                <w:sz w:val="15"/>
              </w:rPr>
              <w:t>SEC-003</w:t>
            </w:r>
          </w:p>
        </w:tc>
        <w:tc>
          <w:tcPr>
            <w:tcW w:type="dxa" w:w="5450"/>
            <w:vAlign w:val="top"/>
            <w:tcMar>
              <w:top w:w="90" w:type="dxa"/>
              <w:start w:w="120" w:type="dxa"/>
              <w:bottom w:w="90" w:type="dxa"/>
              <w:end w:w="120" w:type="dxa"/>
            </w:tcMar>
          </w:tcPr>
          <w:p>
            <w:pPr>
              <w:spacing w:after="0" w:line="250" w:lineRule="auto"/>
            </w:pPr>
            <w:r/>
            <w:r>
              <w:rPr>
                <w:rFonts w:ascii="Aptos" w:hAnsi="Aptos"/>
                <w:b w:val="0"/>
                <w:color w:val="1D2433"/>
                <w:sz w:val="15"/>
              </w:rPr>
              <w:t>Store secrets outside source/configuration files; isolate production credentials by environment and service.</w:t>
            </w:r>
          </w:p>
        </w:tc>
        <w:tc>
          <w:tcPr>
            <w:tcW w:type="dxa" w:w="3060"/>
            <w:vAlign w:val="top"/>
            <w:tcMar>
              <w:top w:w="90" w:type="dxa"/>
              <w:start w:w="120" w:type="dxa"/>
              <w:bottom w:w="90" w:type="dxa"/>
              <w:end w:w="120" w:type="dxa"/>
            </w:tcMar>
          </w:tcPr>
          <w:p>
            <w:pPr>
              <w:spacing w:after="0" w:line="250" w:lineRule="auto"/>
            </w:pPr>
            <w:r/>
            <w:r>
              <w:rPr>
                <w:rFonts w:ascii="Aptos" w:hAnsi="Aptos"/>
                <w:b w:val="0"/>
                <w:color w:val="1D2433"/>
                <w:sz w:val="15"/>
              </w:rPr>
              <w:t>Repository and runtime secret audit pass.</w:t>
            </w:r>
          </w:p>
        </w:tc>
      </w:tr>
      <w:tr>
        <w:tc>
          <w:tcPr>
            <w:tcW w:type="dxa" w:w="8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SEC-004</w:t>
            </w:r>
          </w:p>
        </w:tc>
        <w:tc>
          <w:tcPr>
            <w:tcW w:type="dxa" w:w="54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Use rate limits, bot defence and risk-based step-up on authentication, lookup, code claim, referral and redemption endpoints.</w:t>
            </w:r>
          </w:p>
        </w:tc>
        <w:tc>
          <w:tcPr>
            <w:tcW w:type="dxa" w:w="30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Abuse/load tests trigger controls without broad denial.</w:t>
            </w:r>
          </w:p>
        </w:tc>
      </w:tr>
      <w:tr>
        <w:tc>
          <w:tcPr>
            <w:tcW w:type="dxa" w:w="850"/>
            <w:vAlign w:val="top"/>
            <w:tcMar>
              <w:top w:w="90" w:type="dxa"/>
              <w:start w:w="120" w:type="dxa"/>
              <w:bottom w:w="90" w:type="dxa"/>
              <w:end w:w="120" w:type="dxa"/>
            </w:tcMar>
          </w:tcPr>
          <w:p>
            <w:pPr>
              <w:spacing w:after="0" w:line="250" w:lineRule="auto"/>
            </w:pPr>
            <w:r/>
            <w:r>
              <w:rPr>
                <w:rFonts w:ascii="Aptos" w:hAnsi="Aptos"/>
                <w:b w:val="0"/>
                <w:color w:val="1D2433"/>
                <w:sz w:val="15"/>
              </w:rPr>
              <w:t>SEC-005</w:t>
            </w:r>
          </w:p>
        </w:tc>
        <w:tc>
          <w:tcPr>
            <w:tcW w:type="dxa" w:w="5450"/>
            <w:vAlign w:val="top"/>
            <w:tcMar>
              <w:top w:w="90" w:type="dxa"/>
              <w:start w:w="120" w:type="dxa"/>
              <w:bottom w:w="90" w:type="dxa"/>
              <w:end w:w="120" w:type="dxa"/>
            </w:tcMar>
          </w:tcPr>
          <w:p>
            <w:pPr>
              <w:spacing w:after="0" w:line="250" w:lineRule="auto"/>
            </w:pPr>
            <w:r/>
            <w:r>
              <w:rPr>
                <w:rFonts w:ascii="Aptos" w:hAnsi="Aptos"/>
                <w:b w:val="0"/>
                <w:color w:val="1D2433"/>
                <w:sz w:val="15"/>
              </w:rPr>
              <w:t>Protect web sessions with secure cookies/tokens, CSRF defence, short privileged sessions and revocation.</w:t>
            </w:r>
          </w:p>
        </w:tc>
        <w:tc>
          <w:tcPr>
            <w:tcW w:type="dxa" w:w="3060"/>
            <w:vAlign w:val="top"/>
            <w:tcMar>
              <w:top w:w="90" w:type="dxa"/>
              <w:start w:w="120" w:type="dxa"/>
              <w:bottom w:w="90" w:type="dxa"/>
              <w:end w:w="120" w:type="dxa"/>
            </w:tcMar>
          </w:tcPr>
          <w:p>
            <w:pPr>
              <w:spacing w:after="0" w:line="250" w:lineRule="auto"/>
            </w:pPr>
            <w:r/>
            <w:r>
              <w:rPr>
                <w:rFonts w:ascii="Aptos" w:hAnsi="Aptos"/>
                <w:b w:val="0"/>
                <w:color w:val="1D2433"/>
                <w:sz w:val="15"/>
              </w:rPr>
              <w:t>OWASP-focused test suite passes.</w:t>
            </w:r>
          </w:p>
        </w:tc>
      </w:tr>
      <w:tr>
        <w:tc>
          <w:tcPr>
            <w:tcW w:type="dxa" w:w="8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SEC-006</w:t>
            </w:r>
          </w:p>
        </w:tc>
        <w:tc>
          <w:tcPr>
            <w:tcW w:type="dxa" w:w="54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Maintain tamper-evident audit records for privileged and value-changing operations.</w:t>
            </w:r>
          </w:p>
        </w:tc>
        <w:tc>
          <w:tcPr>
            <w:tcW w:type="dxa" w:w="30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Integrity verification detects alteration.</w:t>
            </w:r>
          </w:p>
        </w:tc>
      </w:tr>
      <w:tr>
        <w:tc>
          <w:tcPr>
            <w:tcW w:type="dxa" w:w="850"/>
            <w:vAlign w:val="top"/>
            <w:tcMar>
              <w:top w:w="90" w:type="dxa"/>
              <w:start w:w="120" w:type="dxa"/>
              <w:bottom w:w="90" w:type="dxa"/>
              <w:end w:w="120" w:type="dxa"/>
            </w:tcMar>
          </w:tcPr>
          <w:p>
            <w:pPr>
              <w:spacing w:after="0" w:line="250" w:lineRule="auto"/>
            </w:pPr>
            <w:r/>
            <w:r>
              <w:rPr>
                <w:rFonts w:ascii="Aptos" w:hAnsi="Aptos"/>
                <w:b w:val="0"/>
                <w:color w:val="1D2433"/>
                <w:sz w:val="15"/>
              </w:rPr>
              <w:t>SEC-007</w:t>
            </w:r>
          </w:p>
        </w:tc>
        <w:tc>
          <w:tcPr>
            <w:tcW w:type="dxa" w:w="5450"/>
            <w:vAlign w:val="top"/>
            <w:tcMar>
              <w:top w:w="90" w:type="dxa"/>
              <w:start w:w="120" w:type="dxa"/>
              <w:bottom w:w="90" w:type="dxa"/>
              <w:end w:w="120" w:type="dxa"/>
            </w:tcMar>
          </w:tcPr>
          <w:p>
            <w:pPr>
              <w:spacing w:after="0" w:line="250" w:lineRule="auto"/>
            </w:pPr>
            <w:r/>
            <w:r>
              <w:rPr>
                <w:rFonts w:ascii="Aptos" w:hAnsi="Aptos"/>
                <w:b w:val="0"/>
                <w:color w:val="1D2433"/>
                <w:sz w:val="15"/>
              </w:rPr>
              <w:t>Redact secrets and personal data from logs, traces, errors and analytics.</w:t>
            </w:r>
          </w:p>
        </w:tc>
        <w:tc>
          <w:tcPr>
            <w:tcW w:type="dxa" w:w="3060"/>
            <w:vAlign w:val="top"/>
            <w:tcMar>
              <w:top w:w="90" w:type="dxa"/>
              <w:start w:w="120" w:type="dxa"/>
              <w:bottom w:w="90" w:type="dxa"/>
              <w:end w:w="120" w:type="dxa"/>
            </w:tcMar>
          </w:tcPr>
          <w:p>
            <w:pPr>
              <w:spacing w:after="0" w:line="250" w:lineRule="auto"/>
            </w:pPr>
            <w:r/>
            <w:r>
              <w:rPr>
                <w:rFonts w:ascii="Aptos" w:hAnsi="Aptos"/>
                <w:b w:val="0"/>
                <w:color w:val="1D2433"/>
                <w:sz w:val="15"/>
              </w:rPr>
              <w:t>Automated log canary tests pass.</w:t>
            </w:r>
          </w:p>
        </w:tc>
      </w:tr>
      <w:tr>
        <w:tc>
          <w:tcPr>
            <w:tcW w:type="dxa" w:w="8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SEC-008</w:t>
            </w:r>
          </w:p>
        </w:tc>
        <w:tc>
          <w:tcPr>
            <w:tcW w:type="dxa" w:w="54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Complete external penetration test and remediate critical/high findings before production acceptance.</w:t>
            </w:r>
          </w:p>
        </w:tc>
        <w:tc>
          <w:tcPr>
            <w:tcW w:type="dxa" w:w="30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Signed report and remediation evidence.</w:t>
            </w:r>
          </w:p>
        </w:tc>
      </w:tr>
    </w:tbl>
    <w:p>
      <w:pPr>
        <w:spacing w:after="20"/>
      </w:pPr>
    </w:p>
    <w:p>
      <w:pPr>
        <w:pStyle w:val="Heading2"/>
        <w:keepNext/>
      </w:pPr>
      <w:r>
        <w:t>17.2 Fraud controls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vAlign w:val="center"/>
            <w:shd w:fill="0B2545"/>
            <w:tcMar>
              <w:top w:w="90" w:type="dxa"/>
              <w:start w:w="120" w:type="dxa"/>
              <w:bottom w:w="90" w:type="dxa"/>
              <w:end w:w="120" w:type="dxa"/>
            </w:tcMar>
          </w:tcPr>
          <w:p>
            <w:pPr>
              <w:spacing w:after="0"/>
            </w:pPr>
            <w:r/>
            <w:r>
              <w:rPr>
                <w:rFonts w:ascii="Aptos" w:hAnsi="Aptos"/>
                <w:b/>
                <w:color w:val="FFFFFF"/>
                <w:sz w:val="14"/>
              </w:rPr>
              <w:t>Risk</w:t>
            </w:r>
          </w:p>
        </w:tc>
        <w:tc>
          <w:tcPr>
            <w:tcW w:type="dxa" w:w="7460"/>
            <w:shd w:fill="0B2545"/>
            <w:tcMar>
              <w:top w:w="90" w:type="dxa"/>
              <w:start w:w="120" w:type="dxa"/>
              <w:bottom w:w="90" w:type="dxa"/>
              <w:end w:w="120" w:type="dxa"/>
            </w:tcMar>
          </w:tcPr>
          <w:p>
            <w:pPr>
              <w:spacing w:after="0"/>
            </w:pPr>
            <w:r/>
            <w:r>
              <w:rPr>
                <w:rFonts w:ascii="Aptos" w:hAnsi="Aptos"/>
                <w:b/>
                <w:color w:val="FFFFFF"/>
                <w:sz w:val="14"/>
              </w:rPr>
              <w:t>Controls</w:t>
            </w:r>
          </w:p>
        </w:tc>
      </w:tr>
      <w:tr>
        <w:tc>
          <w:tcPr>
            <w:tcW w:type="dxa" w:w="1900"/>
            <w:vAlign w:val="top"/>
            <w:tcMar>
              <w:top w:w="90" w:type="dxa"/>
              <w:start w:w="120" w:type="dxa"/>
              <w:bottom w:w="90" w:type="dxa"/>
              <w:end w:w="120" w:type="dxa"/>
            </w:tcMar>
          </w:tcPr>
          <w:p>
            <w:pPr>
              <w:spacing w:after="0" w:line="250" w:lineRule="auto"/>
            </w:pPr>
            <w:r/>
            <w:r>
              <w:rPr>
                <w:rFonts w:ascii="Aptos" w:hAnsi="Aptos"/>
                <w:b w:val="0"/>
                <w:color w:val="1D2433"/>
                <w:sz w:val="14"/>
              </w:rPr>
              <w:t>QR replay</w:t>
            </w:r>
          </w:p>
        </w:tc>
        <w:tc>
          <w:tcPr>
            <w:tcW w:type="dxa" w:w="7460"/>
            <w:vAlign w:val="top"/>
            <w:tcMar>
              <w:top w:w="90" w:type="dxa"/>
              <w:start w:w="120" w:type="dxa"/>
              <w:bottom w:w="90" w:type="dxa"/>
              <w:end w:w="120" w:type="dxa"/>
            </w:tcMar>
          </w:tcPr>
          <w:p>
            <w:pPr>
              <w:spacing w:after="0" w:line="250" w:lineRule="auto"/>
            </w:pPr>
            <w:r/>
            <w:r>
              <w:rPr>
                <w:rFonts w:ascii="Aptos" w:hAnsi="Aptos"/>
                <w:b w:val="0"/>
                <w:color w:val="1D2433"/>
                <w:sz w:val="14"/>
              </w:rPr>
              <w:t>Short-lived rotating token, nonce, audience/park binding, replay cache and atomic redemption.</w:t>
            </w:r>
          </w:p>
        </w:tc>
      </w:tr>
      <w:tr>
        <w:tc>
          <w:tcPr>
            <w:tcW w:type="dxa" w:w="1900"/>
            <w:vAlign w:val="top"/>
            <w:shd w:fill="F6F8FB"/>
            <w:tcMar>
              <w:top w:w="90" w:type="dxa"/>
              <w:start w:w="120" w:type="dxa"/>
              <w:bottom w:w="90" w:type="dxa"/>
              <w:end w:w="120" w:type="dxa"/>
            </w:tcMar>
          </w:tcPr>
          <w:p>
            <w:pPr>
              <w:spacing w:after="0" w:line="250" w:lineRule="auto"/>
            </w:pPr>
            <w:r/>
            <w:r>
              <w:rPr>
                <w:rFonts w:ascii="Aptos" w:hAnsi="Aptos"/>
                <w:b w:val="0"/>
                <w:color w:val="1D2433"/>
                <w:sz w:val="14"/>
              </w:rPr>
              <w:t>Staff self-credit</w:t>
            </w:r>
          </w:p>
        </w:tc>
        <w:tc>
          <w:tcPr>
            <w:tcW w:type="dxa" w:w="7460"/>
            <w:vAlign w:val="top"/>
            <w:shd w:fill="F6F8FB"/>
            <w:tcMar>
              <w:top w:w="90" w:type="dxa"/>
              <w:start w:w="120" w:type="dxa"/>
              <w:bottom w:w="90" w:type="dxa"/>
              <w:end w:w="120" w:type="dxa"/>
            </w:tcMar>
          </w:tcPr>
          <w:p>
            <w:pPr>
              <w:spacing w:after="0" w:line="250" w:lineRule="auto"/>
            </w:pPr>
            <w:r/>
            <w:r>
              <w:rPr>
                <w:rFonts w:ascii="Aptos" w:hAnsi="Aptos"/>
                <w:b w:val="0"/>
                <w:color w:val="1D2433"/>
                <w:sz w:val="14"/>
              </w:rPr>
              <w:t>Staff/customer identity correlation alerts, manager approval, shift caps and audit.</w:t>
            </w:r>
          </w:p>
        </w:tc>
      </w:tr>
      <w:tr>
        <w:tc>
          <w:tcPr>
            <w:tcW w:type="dxa" w:w="1900"/>
            <w:vAlign w:val="top"/>
            <w:tcMar>
              <w:top w:w="90" w:type="dxa"/>
              <w:start w:w="120" w:type="dxa"/>
              <w:bottom w:w="90" w:type="dxa"/>
              <w:end w:w="120" w:type="dxa"/>
            </w:tcMar>
          </w:tcPr>
          <w:p>
            <w:pPr>
              <w:spacing w:after="0" w:line="250" w:lineRule="auto"/>
            </w:pPr>
            <w:r/>
            <w:r>
              <w:rPr>
                <w:rFonts w:ascii="Aptos" w:hAnsi="Aptos"/>
                <w:b w:val="0"/>
                <w:color w:val="1D2433"/>
                <w:sz w:val="14"/>
              </w:rPr>
              <w:t>Duplicate identity</w:t>
            </w:r>
          </w:p>
        </w:tc>
        <w:tc>
          <w:tcPr>
            <w:tcW w:type="dxa" w:w="7460"/>
            <w:vAlign w:val="top"/>
            <w:tcMar>
              <w:top w:w="90" w:type="dxa"/>
              <w:start w:w="120" w:type="dxa"/>
              <w:bottom w:w="90" w:type="dxa"/>
              <w:end w:w="120" w:type="dxa"/>
            </w:tcMar>
          </w:tcPr>
          <w:p>
            <w:pPr>
              <w:spacing w:after="0" w:line="250" w:lineRule="auto"/>
            </w:pPr>
            <w:r/>
            <w:r>
              <w:rPr>
                <w:rFonts w:ascii="Aptos" w:hAnsi="Aptos"/>
                <w:b w:val="0"/>
                <w:color w:val="1D2433"/>
                <w:sz w:val="14"/>
              </w:rPr>
              <w:t>Verified contact uniqueness, merge workflow, device/payment signals and manual review.</w:t>
            </w:r>
          </w:p>
        </w:tc>
      </w:tr>
      <w:tr>
        <w:tc>
          <w:tcPr>
            <w:tcW w:type="dxa" w:w="1900"/>
            <w:vAlign w:val="top"/>
            <w:shd w:fill="F6F8FB"/>
            <w:tcMar>
              <w:top w:w="90" w:type="dxa"/>
              <w:start w:w="120" w:type="dxa"/>
              <w:bottom w:w="90" w:type="dxa"/>
              <w:end w:w="120" w:type="dxa"/>
            </w:tcMar>
          </w:tcPr>
          <w:p>
            <w:pPr>
              <w:spacing w:after="0" w:line="250" w:lineRule="auto"/>
            </w:pPr>
            <w:r/>
            <w:r>
              <w:rPr>
                <w:rFonts w:ascii="Aptos" w:hAnsi="Aptos"/>
                <w:b w:val="0"/>
                <w:color w:val="1D2433"/>
                <w:sz w:val="14"/>
              </w:rPr>
              <w:t>Referral abuse</w:t>
            </w:r>
          </w:p>
        </w:tc>
        <w:tc>
          <w:tcPr>
            <w:tcW w:type="dxa" w:w="7460"/>
            <w:vAlign w:val="top"/>
            <w:shd w:fill="F6F8FB"/>
            <w:tcMar>
              <w:top w:w="90" w:type="dxa"/>
              <w:start w:w="120" w:type="dxa"/>
              <w:bottom w:w="90" w:type="dxa"/>
              <w:end w:w="120" w:type="dxa"/>
            </w:tcMar>
          </w:tcPr>
          <w:p>
            <w:pPr>
              <w:spacing w:after="0" w:line="250" w:lineRule="auto"/>
            </w:pPr>
            <w:r/>
            <w:r>
              <w:rPr>
                <w:rFonts w:ascii="Aptos" w:hAnsi="Aptos"/>
                <w:b w:val="0"/>
                <w:color w:val="1D2433"/>
                <w:sz w:val="14"/>
              </w:rPr>
              <w:t>Qualification after paid attendance, caps, cooling period, cluster detection and reversal.</w:t>
            </w:r>
          </w:p>
        </w:tc>
      </w:tr>
      <w:tr>
        <w:tc>
          <w:tcPr>
            <w:tcW w:type="dxa" w:w="1900"/>
            <w:vAlign w:val="top"/>
            <w:tcMar>
              <w:top w:w="90" w:type="dxa"/>
              <w:start w:w="120" w:type="dxa"/>
              <w:bottom w:w="90" w:type="dxa"/>
              <w:end w:w="120" w:type="dxa"/>
            </w:tcMar>
          </w:tcPr>
          <w:p>
            <w:pPr>
              <w:spacing w:after="0" w:line="250" w:lineRule="auto"/>
            </w:pPr>
            <w:r/>
            <w:r>
              <w:rPr>
                <w:rFonts w:ascii="Aptos" w:hAnsi="Aptos"/>
                <w:b w:val="0"/>
                <w:color w:val="1D2433"/>
                <w:sz w:val="14"/>
              </w:rPr>
              <w:t>Voucher guessing</w:t>
            </w:r>
          </w:p>
        </w:tc>
        <w:tc>
          <w:tcPr>
            <w:tcW w:type="dxa" w:w="7460"/>
            <w:vAlign w:val="top"/>
            <w:tcMar>
              <w:top w:w="90" w:type="dxa"/>
              <w:start w:w="120" w:type="dxa"/>
              <w:bottom w:w="90" w:type="dxa"/>
              <w:end w:w="120" w:type="dxa"/>
            </w:tcMar>
          </w:tcPr>
          <w:p>
            <w:pPr>
              <w:spacing w:after="0" w:line="250" w:lineRule="auto"/>
            </w:pPr>
            <w:r/>
            <w:r>
              <w:rPr>
                <w:rFonts w:ascii="Aptos" w:hAnsi="Aptos"/>
                <w:b w:val="0"/>
                <w:color w:val="1D2433"/>
                <w:sz w:val="14"/>
              </w:rPr>
              <w:t>High entropy, masked display, rate limits, claim proof and risk scoring.</w:t>
            </w:r>
          </w:p>
        </w:tc>
      </w:tr>
      <w:tr>
        <w:tc>
          <w:tcPr>
            <w:tcW w:type="dxa" w:w="1900"/>
            <w:vAlign w:val="top"/>
            <w:shd w:fill="F6F8FB"/>
            <w:tcMar>
              <w:top w:w="90" w:type="dxa"/>
              <w:start w:w="120" w:type="dxa"/>
              <w:bottom w:w="90" w:type="dxa"/>
              <w:end w:w="120" w:type="dxa"/>
            </w:tcMar>
          </w:tcPr>
          <w:p>
            <w:pPr>
              <w:spacing w:after="0" w:line="250" w:lineRule="auto"/>
            </w:pPr>
            <w:r/>
            <w:r>
              <w:rPr>
                <w:rFonts w:ascii="Aptos" w:hAnsi="Aptos"/>
                <w:b w:val="0"/>
                <w:color w:val="1D2433"/>
                <w:sz w:val="14"/>
              </w:rPr>
              <w:t>Refund after earn/spend</w:t>
            </w:r>
          </w:p>
        </w:tc>
        <w:tc>
          <w:tcPr>
            <w:tcW w:type="dxa" w:w="7460"/>
            <w:vAlign w:val="top"/>
            <w:shd w:fill="F6F8FB"/>
            <w:tcMar>
              <w:top w:w="90" w:type="dxa"/>
              <w:start w:w="120" w:type="dxa"/>
              <w:bottom w:w="90" w:type="dxa"/>
              <w:end w:w="120" w:type="dxa"/>
            </w:tcMar>
          </w:tcPr>
          <w:p>
            <w:pPr>
              <w:spacing w:after="0" w:line="250" w:lineRule="auto"/>
            </w:pPr>
            <w:r/>
            <w:r>
              <w:rPr>
                <w:rFonts w:ascii="Aptos" w:hAnsi="Aptos"/>
                <w:b w:val="0"/>
                <w:color w:val="1D2433"/>
                <w:sz w:val="14"/>
              </w:rPr>
              <w:t>Source-linked compensating entries, negative balance/recovery rules and case handling.</w:t>
            </w:r>
          </w:p>
        </w:tc>
      </w:tr>
      <w:tr>
        <w:tc>
          <w:tcPr>
            <w:tcW w:type="dxa" w:w="1900"/>
            <w:vAlign w:val="top"/>
            <w:tcMar>
              <w:top w:w="90" w:type="dxa"/>
              <w:start w:w="120" w:type="dxa"/>
              <w:bottom w:w="90" w:type="dxa"/>
              <w:end w:w="120" w:type="dxa"/>
            </w:tcMar>
          </w:tcPr>
          <w:p>
            <w:pPr>
              <w:spacing w:after="0" w:line="250" w:lineRule="auto"/>
            </w:pPr>
            <w:r/>
            <w:r>
              <w:rPr>
                <w:rFonts w:ascii="Aptos" w:hAnsi="Aptos"/>
                <w:b w:val="0"/>
                <w:color w:val="1D2433"/>
                <w:sz w:val="14"/>
              </w:rPr>
              <w:t>Offline double-spend</w:t>
            </w:r>
          </w:p>
        </w:tc>
        <w:tc>
          <w:tcPr>
            <w:tcW w:type="dxa" w:w="7460"/>
            <w:vAlign w:val="top"/>
            <w:tcMar>
              <w:top w:w="90" w:type="dxa"/>
              <w:start w:w="120" w:type="dxa"/>
              <w:bottom w:w="90" w:type="dxa"/>
              <w:end w:w="120" w:type="dxa"/>
            </w:tcMar>
          </w:tcPr>
          <w:p>
            <w:pPr>
              <w:spacing w:after="0" w:line="250" w:lineRule="auto"/>
            </w:pPr>
            <w:r/>
            <w:r>
              <w:rPr>
                <w:rFonts w:ascii="Aptos" w:hAnsi="Aptos"/>
                <w:b w:val="0"/>
                <w:color w:val="1D2433"/>
                <w:sz w:val="14"/>
              </w:rPr>
              <w:t>Bounded signed grants, nonce list, device limits and conflict reconciliation.</w:t>
            </w:r>
          </w:p>
        </w:tc>
      </w:tr>
      <w:tr>
        <w:tc>
          <w:tcPr>
            <w:tcW w:type="dxa" w:w="1900"/>
            <w:vAlign w:val="top"/>
            <w:shd w:fill="F6F8FB"/>
            <w:tcMar>
              <w:top w:w="90" w:type="dxa"/>
              <w:start w:w="120" w:type="dxa"/>
              <w:bottom w:w="90" w:type="dxa"/>
              <w:end w:w="120" w:type="dxa"/>
            </w:tcMar>
          </w:tcPr>
          <w:p>
            <w:pPr>
              <w:spacing w:after="0" w:line="250" w:lineRule="auto"/>
            </w:pPr>
            <w:r/>
            <w:r>
              <w:rPr>
                <w:rFonts w:ascii="Aptos" w:hAnsi="Aptos"/>
                <w:b w:val="0"/>
                <w:color w:val="1D2433"/>
                <w:sz w:val="14"/>
              </w:rPr>
              <w:t>Admin abuse</w:t>
            </w:r>
          </w:p>
        </w:tc>
        <w:tc>
          <w:tcPr>
            <w:tcW w:type="dxa" w:w="7460"/>
            <w:vAlign w:val="top"/>
            <w:shd w:fill="F6F8FB"/>
            <w:tcMar>
              <w:top w:w="90" w:type="dxa"/>
              <w:start w:w="120" w:type="dxa"/>
              <w:bottom w:w="90" w:type="dxa"/>
              <w:end w:w="120" w:type="dxa"/>
            </w:tcMar>
          </w:tcPr>
          <w:p>
            <w:pPr>
              <w:spacing w:after="0" w:line="250" w:lineRule="auto"/>
            </w:pPr>
            <w:r/>
            <w:r>
              <w:rPr>
                <w:rFonts w:ascii="Aptos" w:hAnsi="Aptos"/>
                <w:b w:val="0"/>
                <w:color w:val="1D2433"/>
                <w:sz w:val="14"/>
              </w:rPr>
              <w:t>Maker-checker, JIT privileges, exports approval, immutable audit and anomaly alerting.</w:t>
            </w:r>
          </w:p>
        </w:tc>
      </w:tr>
    </w:tbl>
    <w:p>
      <w:pPr>
        <w:spacing w:after="20"/>
      </w:pPr>
    </w:p>
    <w:p>
      <w:pPr>
        <w:pStyle w:val="Heading2"/>
        <w:keepNext/>
      </w:pPr>
      <w:r>
        <w:t>17.3 Incident response</w:t>
      </w:r>
    </w:p>
    <w:p>
      <w:pPr>
        <w:pStyle w:val="ListBullet"/>
      </w:pPr>
      <w:r>
        <w:rPr>
          <w:rFonts w:ascii="Aptos" w:hAnsi="Aptos"/>
          <w:b w:val="0"/>
          <w:color w:val="1D2433"/>
          <w:sz w:val="19"/>
        </w:rPr>
        <w:t>Severity model covering security, privacy, value/financial, provider, availability and data-quality incidents.</w:t>
      </w:r>
    </w:p>
    <w:p>
      <w:pPr>
        <w:pStyle w:val="ListBullet"/>
      </w:pPr>
      <w:r>
        <w:rPr>
          <w:rFonts w:ascii="Aptos" w:hAnsi="Aptos"/>
          <w:b w:val="0"/>
          <w:color w:val="1D2433"/>
          <w:sz w:val="19"/>
        </w:rPr>
        <w:t>On-call routing and named business owner for each service.</w:t>
      </w:r>
    </w:p>
    <w:p>
      <w:pPr>
        <w:pStyle w:val="ListBullet"/>
      </w:pPr>
      <w:r>
        <w:rPr>
          <w:rFonts w:ascii="Aptos" w:hAnsi="Aptos"/>
          <w:b w:val="0"/>
          <w:color w:val="1D2433"/>
          <w:sz w:val="19"/>
        </w:rPr>
        <w:t>Automated containment options: disable redemption type, provider, campaign, park or credential issuer.</w:t>
      </w:r>
    </w:p>
    <w:p>
      <w:pPr>
        <w:pStyle w:val="ListBullet"/>
      </w:pPr>
      <w:r>
        <w:rPr>
          <w:rFonts w:ascii="Aptos" w:hAnsi="Aptos"/>
          <w:b w:val="0"/>
          <w:color w:val="1D2433"/>
          <w:sz w:val="19"/>
        </w:rPr>
        <w:t>Preserved evidence, customer/authority notification assessment and communications templates.</w:t>
      </w:r>
    </w:p>
    <w:p>
      <w:pPr>
        <w:pStyle w:val="ListBullet"/>
      </w:pPr>
      <w:r>
        <w:rPr>
          <w:rFonts w:ascii="Aptos" w:hAnsi="Aptos"/>
          <w:b w:val="0"/>
          <w:color w:val="1D2433"/>
          <w:sz w:val="19"/>
        </w:rPr>
        <w:t>Post-incident review with corrective actions and regression tests.</w:t>
      </w:r>
    </w:p>
    <w:p>
      <w:pPr>
        <w:pStyle w:val="Heading1"/>
        <w:keepNext/>
      </w:pPr>
      <w:r>
        <w:t>18. Non-functional and platform requirements</w:t>
      </w:r>
    </w:p>
    <w:p>
      <w:pPr>
        <w:pStyle w:val="Heading2"/>
        <w:keepNext/>
      </w:pPr>
      <w:r>
        <w:t>18.1 Availability, performance and scale</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shd w:fill="0B2545"/>
            <w:tcMar>
              <w:top w:w="90" w:type="dxa"/>
              <w:start w:w="120" w:type="dxa"/>
              <w:bottom w:w="90" w:type="dxa"/>
              <w:end w:w="120" w:type="dxa"/>
            </w:tcMar>
          </w:tcPr>
          <w:p>
            <w:pPr>
              <w:spacing w:after="0"/>
            </w:pPr>
            <w:r/>
            <w:r>
              <w:rPr>
                <w:rFonts w:ascii="Aptos" w:hAnsi="Aptos"/>
                <w:b/>
                <w:color w:val="FFFFFF"/>
                <w:sz w:val="15"/>
              </w:rPr>
              <w:t>Area</w:t>
            </w:r>
          </w:p>
        </w:tc>
        <w:tc>
          <w:tcPr>
            <w:tcW w:type="dxa" w:w="7260"/>
            <w:shd w:fill="0B2545"/>
            <w:tcMar>
              <w:top w:w="90" w:type="dxa"/>
              <w:start w:w="120" w:type="dxa"/>
              <w:bottom w:w="90" w:type="dxa"/>
              <w:end w:w="120" w:type="dxa"/>
            </w:tcMar>
          </w:tcPr>
          <w:p>
            <w:pPr>
              <w:spacing w:after="0"/>
            </w:pPr>
            <w:r/>
            <w:r>
              <w:rPr>
                <w:rFonts w:ascii="Aptos" w:hAnsi="Aptos"/>
                <w:b/>
                <w:color w:val="FFFFFF"/>
                <w:sz w:val="15"/>
              </w:rPr>
              <w:t>Production target</w:t>
            </w:r>
          </w:p>
        </w:tc>
      </w:tr>
      <w:tr>
        <w:tc>
          <w:tcPr>
            <w:tcW w:type="dxa" w:w="2100"/>
            <w:vAlign w:val="top"/>
            <w:tcMar>
              <w:top w:w="90" w:type="dxa"/>
              <w:start w:w="120" w:type="dxa"/>
              <w:bottom w:w="90" w:type="dxa"/>
              <w:end w:w="120" w:type="dxa"/>
            </w:tcMar>
          </w:tcPr>
          <w:p>
            <w:pPr>
              <w:spacing w:after="0" w:line="250" w:lineRule="auto"/>
            </w:pPr>
            <w:r/>
            <w:r>
              <w:rPr>
                <w:rFonts w:ascii="Aptos" w:hAnsi="Aptos"/>
                <w:b w:val="0"/>
                <w:color w:val="1D2433"/>
                <w:sz w:val="15"/>
              </w:rPr>
              <w:t>Customer portal/card</w:t>
            </w:r>
          </w:p>
        </w:tc>
        <w:tc>
          <w:tcPr>
            <w:tcW w:type="dxa" w:w="7260"/>
            <w:vAlign w:val="top"/>
            <w:tcMar>
              <w:top w:w="90" w:type="dxa"/>
              <w:start w:w="120" w:type="dxa"/>
              <w:bottom w:w="90" w:type="dxa"/>
              <w:end w:w="120" w:type="dxa"/>
            </w:tcMar>
          </w:tcPr>
          <w:p>
            <w:pPr>
              <w:spacing w:after="0" w:line="250" w:lineRule="auto"/>
            </w:pPr>
            <w:r/>
            <w:r>
              <w:rPr>
                <w:rFonts w:ascii="Aptos" w:hAnsi="Aptos"/>
                <w:b w:val="0"/>
                <w:color w:val="1D2433"/>
                <w:sz w:val="15"/>
              </w:rPr>
              <w:t>99.95% monthly availability; p95 read interaction ≤500 ms at service boundary under normal load.</w:t>
            </w:r>
          </w:p>
        </w:tc>
      </w:tr>
      <w:tr>
        <w:tc>
          <w:tcPr>
            <w:tcW w:type="dxa" w:w="21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Redemption/validation</w:t>
            </w:r>
          </w:p>
        </w:tc>
        <w:tc>
          <w:tcPr>
            <w:tcW w:type="dxa" w:w="72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99.95% monthly availability; p95 online validation ≤700 ms excluding third-party delay.</w:t>
            </w:r>
          </w:p>
        </w:tc>
      </w:tr>
      <w:tr>
        <w:tc>
          <w:tcPr>
            <w:tcW w:type="dxa" w:w="2100"/>
            <w:vAlign w:val="top"/>
            <w:tcMar>
              <w:top w:w="90" w:type="dxa"/>
              <w:start w:w="120" w:type="dxa"/>
              <w:bottom w:w="90" w:type="dxa"/>
              <w:end w:w="120" w:type="dxa"/>
            </w:tcMar>
          </w:tcPr>
          <w:p>
            <w:pPr>
              <w:spacing w:after="0" w:line="250" w:lineRule="auto"/>
            </w:pPr>
            <w:r/>
            <w:r>
              <w:rPr>
                <w:rFonts w:ascii="Aptos" w:hAnsi="Aptos"/>
                <w:b w:val="0"/>
                <w:color w:val="1D2433"/>
                <w:sz w:val="15"/>
              </w:rPr>
              <w:t>Admin</w:t>
            </w:r>
          </w:p>
        </w:tc>
        <w:tc>
          <w:tcPr>
            <w:tcW w:type="dxa" w:w="7260"/>
            <w:vAlign w:val="top"/>
            <w:tcMar>
              <w:top w:w="90" w:type="dxa"/>
              <w:start w:w="120" w:type="dxa"/>
              <w:bottom w:w="90" w:type="dxa"/>
              <w:end w:w="120" w:type="dxa"/>
            </w:tcMar>
          </w:tcPr>
          <w:p>
            <w:pPr>
              <w:spacing w:after="0" w:line="250" w:lineRule="auto"/>
            </w:pPr>
            <w:r/>
            <w:r>
              <w:rPr>
                <w:rFonts w:ascii="Aptos" w:hAnsi="Aptos"/>
                <w:b w:val="0"/>
                <w:color w:val="1D2433"/>
                <w:sz w:val="15"/>
              </w:rPr>
              <w:t>99.9% monthly availability; critical operational paths prioritised.</w:t>
            </w:r>
          </w:p>
        </w:tc>
      </w:tr>
      <w:tr>
        <w:tc>
          <w:tcPr>
            <w:tcW w:type="dxa" w:w="21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Event processing</w:t>
            </w:r>
          </w:p>
        </w:tc>
        <w:tc>
          <w:tcPr>
            <w:tcW w:type="dxa" w:w="72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95% of accepted real-time events processed within 60 seconds; visible backlog and replay.</w:t>
            </w:r>
          </w:p>
        </w:tc>
      </w:tr>
      <w:tr>
        <w:tc>
          <w:tcPr>
            <w:tcW w:type="dxa" w:w="2100"/>
            <w:vAlign w:val="top"/>
            <w:tcMar>
              <w:top w:w="90" w:type="dxa"/>
              <w:start w:w="120" w:type="dxa"/>
              <w:bottom w:w="90" w:type="dxa"/>
              <w:end w:w="120" w:type="dxa"/>
            </w:tcMar>
          </w:tcPr>
          <w:p>
            <w:pPr>
              <w:spacing w:after="0" w:line="250" w:lineRule="auto"/>
            </w:pPr>
            <w:r/>
            <w:r>
              <w:rPr>
                <w:rFonts w:ascii="Aptos" w:hAnsi="Aptos"/>
                <w:b w:val="0"/>
                <w:color w:val="1D2433"/>
                <w:sz w:val="15"/>
              </w:rPr>
              <w:t>Campaign scheduling</w:t>
            </w:r>
          </w:p>
        </w:tc>
        <w:tc>
          <w:tcPr>
            <w:tcW w:type="dxa" w:w="7260"/>
            <w:vAlign w:val="top"/>
            <w:tcMar>
              <w:top w:w="90" w:type="dxa"/>
              <w:start w:w="120" w:type="dxa"/>
              <w:bottom w:w="90" w:type="dxa"/>
              <w:end w:w="120" w:type="dxa"/>
            </w:tcMar>
          </w:tcPr>
          <w:p>
            <w:pPr>
              <w:spacing w:after="0" w:line="250" w:lineRule="auto"/>
            </w:pPr>
            <w:r/>
            <w:r>
              <w:rPr>
                <w:rFonts w:ascii="Aptos" w:hAnsi="Aptos"/>
                <w:b w:val="0"/>
                <w:color w:val="1D2433"/>
                <w:sz w:val="15"/>
              </w:rPr>
              <w:t>Eligible sends begin within 5 minutes of scheduled time; journeys process triggers within 2 minutes under normal load.</w:t>
            </w:r>
          </w:p>
        </w:tc>
      </w:tr>
      <w:tr>
        <w:tc>
          <w:tcPr>
            <w:tcW w:type="dxa" w:w="21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Scale baseline</w:t>
            </w:r>
          </w:p>
        </w:tc>
        <w:tc>
          <w:tcPr>
            <w:tcW w:type="dxa" w:w="72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Support at least 1,000,000 customer/person records, 250,000 households, 100 parks, 10,000 staff identities, 100M events and 500 peak scans/minute without redesign.</w:t>
            </w:r>
          </w:p>
        </w:tc>
      </w:tr>
      <w:tr>
        <w:tc>
          <w:tcPr>
            <w:tcW w:type="dxa" w:w="2100"/>
            <w:vAlign w:val="top"/>
            <w:tcMar>
              <w:top w:w="90" w:type="dxa"/>
              <w:start w:w="120" w:type="dxa"/>
              <w:bottom w:w="90" w:type="dxa"/>
              <w:end w:w="120" w:type="dxa"/>
            </w:tcMar>
          </w:tcPr>
          <w:p>
            <w:pPr>
              <w:spacing w:after="0" w:line="250" w:lineRule="auto"/>
            </w:pPr>
            <w:r/>
            <w:r>
              <w:rPr>
                <w:rFonts w:ascii="Aptos" w:hAnsi="Aptos"/>
                <w:b w:val="0"/>
                <w:color w:val="1D2433"/>
                <w:sz w:val="15"/>
              </w:rPr>
              <w:t>Burst</w:t>
            </w:r>
          </w:p>
        </w:tc>
        <w:tc>
          <w:tcPr>
            <w:tcW w:type="dxa" w:w="7260"/>
            <w:vAlign w:val="top"/>
            <w:tcMar>
              <w:top w:w="90" w:type="dxa"/>
              <w:start w:w="120" w:type="dxa"/>
              <w:bottom w:w="90" w:type="dxa"/>
              <w:end w:w="120" w:type="dxa"/>
            </w:tcMar>
          </w:tcPr>
          <w:p>
            <w:pPr>
              <w:spacing w:after="0" w:line="250" w:lineRule="auto"/>
            </w:pPr>
            <w:r/>
            <w:r>
              <w:rPr>
                <w:rFonts w:ascii="Aptos" w:hAnsi="Aptos"/>
                <w:b w:val="0"/>
                <w:color w:val="1D2433"/>
                <w:sz w:val="15"/>
              </w:rPr>
              <w:t>Sustain 5× normal promotional traffic for 30 minutes with graceful queuing and no value corruption.</w:t>
            </w:r>
          </w:p>
        </w:tc>
      </w:tr>
    </w:tbl>
    <w:p>
      <w:pPr>
        <w:spacing w:after="20"/>
      </w:pPr>
    </w:p>
    <w:p>
      <w:pPr>
        <w:pStyle w:val="Heading2"/>
        <w:keepNext/>
      </w:pPr>
      <w:r>
        <w:t>18.2 Reliability semantics</w:t>
      </w:r>
    </w:p>
    <w:p>
      <w:pPr>
        <w:pStyle w:val="ListBullet"/>
      </w:pPr>
      <w:r>
        <w:rPr>
          <w:rFonts w:ascii="Aptos" w:hAnsi="Aptos"/>
          <w:b w:val="0"/>
          <w:color w:val="1D2433"/>
          <w:sz w:val="19"/>
        </w:rPr>
        <w:t>At-least-once transport with idempotent consumers and effectively-once domain effects.</w:t>
      </w:r>
    </w:p>
    <w:p>
      <w:pPr>
        <w:pStyle w:val="ListBullet"/>
      </w:pPr>
      <w:r>
        <w:rPr>
          <w:rFonts w:ascii="Aptos" w:hAnsi="Aptos"/>
          <w:b w:val="0"/>
          <w:color w:val="1D2433"/>
          <w:sz w:val="19"/>
        </w:rPr>
        <w:t>Transactional outbox or equivalent for state/event consistency.</w:t>
      </w:r>
    </w:p>
    <w:p>
      <w:pPr>
        <w:pStyle w:val="ListBullet"/>
      </w:pPr>
      <w:r>
        <w:rPr>
          <w:rFonts w:ascii="Aptos" w:hAnsi="Aptos"/>
          <w:b w:val="0"/>
          <w:color w:val="1D2433"/>
          <w:sz w:val="19"/>
        </w:rPr>
        <w:t>Optimistic concurrency or serialisable operations for value-changing state.</w:t>
      </w:r>
    </w:p>
    <w:p>
      <w:pPr>
        <w:pStyle w:val="ListBullet"/>
      </w:pPr>
      <w:r>
        <w:rPr>
          <w:rFonts w:ascii="Aptos" w:hAnsi="Aptos"/>
          <w:b w:val="0"/>
          <w:color w:val="1D2433"/>
          <w:sz w:val="19"/>
        </w:rPr>
        <w:t>No distributed operation relies on unsafely coordinated wall-clock time.</w:t>
      </w:r>
    </w:p>
    <w:p>
      <w:pPr>
        <w:pStyle w:val="ListBullet"/>
      </w:pPr>
      <w:r>
        <w:rPr>
          <w:rFonts w:ascii="Aptos" w:hAnsi="Aptos"/>
          <w:b w:val="0"/>
          <w:color w:val="1D2433"/>
          <w:sz w:val="19"/>
        </w:rPr>
        <w:t>Dead-letter queues are observable, replayable and access-controlled.</w:t>
      </w:r>
    </w:p>
    <w:p>
      <w:pPr>
        <w:pStyle w:val="ListBullet"/>
      </w:pPr>
      <w:r>
        <w:rPr>
          <w:rFonts w:ascii="Aptos" w:hAnsi="Aptos"/>
          <w:b w:val="0"/>
          <w:color w:val="1D2433"/>
          <w:sz w:val="19"/>
        </w:rPr>
        <w:t>Scheduled jobs are leader-safe, idempotent and backfill-capable.</w:t>
      </w:r>
    </w:p>
    <w:p>
      <w:pPr>
        <w:pStyle w:val="Heading2"/>
        <w:keepNext/>
      </w:pPr>
      <w:r>
        <w:t>18.3 Backup and disaster recovery</w:t>
      </w:r>
    </w:p>
    <w:tbl>
      <w:tblPr>
        <w:tblStyle w:val="TableGrid"/>
        <w:tblW w:type="dxa" w:w="9360"/>
        <w:jc w:val="left"/>
        <w:tblLayout w:type="fixed"/>
        <w:tblLook w:firstColumn="1" w:firstRow="1" w:lastColumn="0" w:lastRow="0" w:noHBand="0" w:noVBand="1" w:val="04A0"/>
        <w:tblInd w:w="120" w:type="dxa"/>
      </w:tblPr>
      <w:tblGrid>
        <w:gridCol w:w="850"/>
        <w:gridCol w:w="5450"/>
        <w:gridCol w:w="3060"/>
      </w:tblGrid>
      <w:tr>
        <w:trPr>
          <w:tblHeader w:val="true"/>
        </w:trPr>
        <w:tc>
          <w:tcPr>
            <w:tcW w:type="dxa" w:w="850"/>
            <w:vAlign w:val="center"/>
            <w:shd w:fill="0B2545"/>
            <w:tcMar>
              <w:top w:w="90" w:type="dxa"/>
              <w:start w:w="120" w:type="dxa"/>
              <w:bottom w:w="90" w:type="dxa"/>
              <w:end w:w="120" w:type="dxa"/>
            </w:tcMar>
          </w:tcPr>
          <w:p>
            <w:pPr>
              <w:spacing w:after="0"/>
            </w:pPr>
            <w:r/>
            <w:r>
              <w:rPr>
                <w:rFonts w:ascii="Aptos" w:hAnsi="Aptos"/>
                <w:b/>
                <w:color w:val="FFFFFF"/>
                <w:sz w:val="15"/>
              </w:rPr>
              <w:t>ID</w:t>
            </w:r>
          </w:p>
        </w:tc>
        <w:tc>
          <w:tcPr>
            <w:tcW w:type="dxa" w:w="5450"/>
            <w:shd w:fill="0B2545"/>
            <w:tcMar>
              <w:top w:w="90" w:type="dxa"/>
              <w:start w:w="120" w:type="dxa"/>
              <w:bottom w:w="90" w:type="dxa"/>
              <w:end w:w="120" w:type="dxa"/>
            </w:tcMar>
          </w:tcPr>
          <w:p>
            <w:pPr>
              <w:spacing w:after="0"/>
            </w:pPr>
            <w:r/>
            <w:r>
              <w:rPr>
                <w:rFonts w:ascii="Aptos" w:hAnsi="Aptos"/>
                <w:b/>
                <w:color w:val="FFFFFF"/>
                <w:sz w:val="15"/>
              </w:rPr>
              <w:t>Production requirement</w:t>
            </w:r>
          </w:p>
        </w:tc>
        <w:tc>
          <w:tcPr>
            <w:tcW w:type="dxa" w:w="3060"/>
            <w:shd w:fill="0B2545"/>
            <w:tcMar>
              <w:top w:w="90" w:type="dxa"/>
              <w:start w:w="120" w:type="dxa"/>
              <w:bottom w:w="90" w:type="dxa"/>
              <w:end w:w="120" w:type="dxa"/>
            </w:tcMar>
          </w:tcPr>
          <w:p>
            <w:pPr>
              <w:spacing w:after="0"/>
            </w:pPr>
            <w:r/>
            <w:r>
              <w:rPr>
                <w:rFonts w:ascii="Aptos" w:hAnsi="Aptos"/>
                <w:b/>
                <w:color w:val="FFFFFF"/>
                <w:sz w:val="15"/>
              </w:rPr>
              <w:t>Acceptance evidence</w:t>
            </w:r>
          </w:p>
        </w:tc>
      </w:tr>
      <w:tr>
        <w:tc>
          <w:tcPr>
            <w:tcW w:type="dxa" w:w="850"/>
            <w:vAlign w:val="top"/>
            <w:tcMar>
              <w:top w:w="90" w:type="dxa"/>
              <w:start w:w="120" w:type="dxa"/>
              <w:bottom w:w="90" w:type="dxa"/>
              <w:end w:w="120" w:type="dxa"/>
            </w:tcMar>
          </w:tcPr>
          <w:p>
            <w:pPr>
              <w:spacing w:after="0" w:line="250" w:lineRule="auto"/>
            </w:pPr>
            <w:r/>
            <w:r>
              <w:rPr>
                <w:rFonts w:ascii="Aptos" w:hAnsi="Aptos"/>
                <w:b w:val="0"/>
                <w:color w:val="1D2433"/>
                <w:sz w:val="15"/>
              </w:rPr>
              <w:t>DR-001</w:t>
            </w:r>
          </w:p>
        </w:tc>
        <w:tc>
          <w:tcPr>
            <w:tcW w:type="dxa" w:w="5450"/>
            <w:vAlign w:val="top"/>
            <w:tcMar>
              <w:top w:w="90" w:type="dxa"/>
              <w:start w:w="120" w:type="dxa"/>
              <w:bottom w:w="90" w:type="dxa"/>
              <w:end w:w="120" w:type="dxa"/>
            </w:tcMar>
          </w:tcPr>
          <w:p>
            <w:pPr>
              <w:spacing w:after="0" w:line="250" w:lineRule="auto"/>
            </w:pPr>
            <w:r/>
            <w:r>
              <w:rPr>
                <w:rFonts w:ascii="Aptos" w:hAnsi="Aptos"/>
                <w:b w:val="0"/>
                <w:color w:val="1D2433"/>
                <w:sz w:val="15"/>
              </w:rPr>
              <w:t>Automated encrypted backups with point-in-time recovery for transactional data.</w:t>
            </w:r>
          </w:p>
        </w:tc>
        <w:tc>
          <w:tcPr>
            <w:tcW w:type="dxa" w:w="3060"/>
            <w:vAlign w:val="top"/>
            <w:tcMar>
              <w:top w:w="90" w:type="dxa"/>
              <w:start w:w="120" w:type="dxa"/>
              <w:bottom w:w="90" w:type="dxa"/>
              <w:end w:w="120" w:type="dxa"/>
            </w:tcMar>
          </w:tcPr>
          <w:p>
            <w:pPr>
              <w:spacing w:after="0" w:line="250" w:lineRule="auto"/>
            </w:pPr>
            <w:r/>
            <w:r>
              <w:rPr>
                <w:rFonts w:ascii="Aptos" w:hAnsi="Aptos"/>
                <w:b w:val="0"/>
                <w:color w:val="1D2433"/>
                <w:sz w:val="15"/>
              </w:rPr>
              <w:t>Restore test from isolated environment succeeds.</w:t>
            </w:r>
          </w:p>
        </w:tc>
      </w:tr>
      <w:tr>
        <w:tc>
          <w:tcPr>
            <w:tcW w:type="dxa" w:w="8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DR-002</w:t>
            </w:r>
          </w:p>
        </w:tc>
        <w:tc>
          <w:tcPr>
            <w:tcW w:type="dxa" w:w="54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Target RPO ≤5 minutes for ledger/transactional data and RTO ≤60 minutes for critical customer/redemption service.</w:t>
            </w:r>
          </w:p>
        </w:tc>
        <w:tc>
          <w:tcPr>
            <w:tcW w:type="dxa" w:w="30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Timed disaster exercise proves targets or documents accepted exception.</w:t>
            </w:r>
          </w:p>
        </w:tc>
      </w:tr>
      <w:tr>
        <w:tc>
          <w:tcPr>
            <w:tcW w:type="dxa" w:w="850"/>
            <w:vAlign w:val="top"/>
            <w:tcMar>
              <w:top w:w="90" w:type="dxa"/>
              <w:start w:w="120" w:type="dxa"/>
              <w:bottom w:w="90" w:type="dxa"/>
              <w:end w:w="120" w:type="dxa"/>
            </w:tcMar>
          </w:tcPr>
          <w:p>
            <w:pPr>
              <w:spacing w:after="0" w:line="250" w:lineRule="auto"/>
            </w:pPr>
            <w:r/>
            <w:r>
              <w:rPr>
                <w:rFonts w:ascii="Aptos" w:hAnsi="Aptos"/>
                <w:b w:val="0"/>
                <w:color w:val="1D2433"/>
                <w:sz w:val="15"/>
              </w:rPr>
              <w:t>DR-003</w:t>
            </w:r>
          </w:p>
        </w:tc>
        <w:tc>
          <w:tcPr>
            <w:tcW w:type="dxa" w:w="5450"/>
            <w:vAlign w:val="top"/>
            <w:tcMar>
              <w:top w:w="90" w:type="dxa"/>
              <w:start w:w="120" w:type="dxa"/>
              <w:bottom w:w="90" w:type="dxa"/>
              <w:end w:w="120" w:type="dxa"/>
            </w:tcMar>
          </w:tcPr>
          <w:p>
            <w:pPr>
              <w:spacing w:after="0" w:line="250" w:lineRule="auto"/>
            </w:pPr>
            <w:r/>
            <w:r>
              <w:rPr>
                <w:rFonts w:ascii="Aptos" w:hAnsi="Aptos"/>
                <w:b w:val="0"/>
                <w:color w:val="1D2433"/>
                <w:sz w:val="15"/>
              </w:rPr>
              <w:t>Replicate infrastructure configuration, keys/certificates recovery process and provider dependencies.</w:t>
            </w:r>
          </w:p>
        </w:tc>
        <w:tc>
          <w:tcPr>
            <w:tcW w:type="dxa" w:w="3060"/>
            <w:vAlign w:val="top"/>
            <w:tcMar>
              <w:top w:w="90" w:type="dxa"/>
              <w:start w:w="120" w:type="dxa"/>
              <w:bottom w:w="90" w:type="dxa"/>
              <w:end w:w="120" w:type="dxa"/>
            </w:tcMar>
          </w:tcPr>
          <w:p>
            <w:pPr>
              <w:spacing w:after="0" w:line="250" w:lineRule="auto"/>
            </w:pPr>
            <w:r/>
            <w:r>
              <w:rPr>
                <w:rFonts w:ascii="Aptos" w:hAnsi="Aptos"/>
                <w:b w:val="0"/>
                <w:color w:val="1D2433"/>
                <w:sz w:val="15"/>
              </w:rPr>
              <w:t>Runbook can rebuild environment from controlled sources.</w:t>
            </w:r>
          </w:p>
        </w:tc>
      </w:tr>
      <w:tr>
        <w:tc>
          <w:tcPr>
            <w:tcW w:type="dxa" w:w="8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DR-004</w:t>
            </w:r>
          </w:p>
        </w:tc>
        <w:tc>
          <w:tcPr>
            <w:tcW w:type="dxa" w:w="54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Perform quarterly restore tests and annual full disaster exercise.</w:t>
            </w:r>
          </w:p>
        </w:tc>
        <w:tc>
          <w:tcPr>
            <w:tcW w:type="dxa" w:w="30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Evidence retained with findings and remediation.</w:t>
            </w:r>
          </w:p>
        </w:tc>
      </w:tr>
    </w:tbl>
    <w:p>
      <w:pPr>
        <w:spacing w:after="20"/>
      </w:pPr>
    </w:p>
    <w:p>
      <w:pPr>
        <w:pStyle w:val="Heading2"/>
        <w:keepNext/>
      </w:pPr>
      <w:r>
        <w:t>18.4 Accessibility, language and device support</w:t>
      </w:r>
    </w:p>
    <w:p>
      <w:pPr>
        <w:pStyle w:val="ListBullet"/>
      </w:pPr>
      <w:r>
        <w:rPr>
          <w:rFonts w:ascii="Aptos" w:hAnsi="Aptos"/>
          <w:b w:val="0"/>
          <w:color w:val="1D2433"/>
          <w:sz w:val="19"/>
        </w:rPr>
        <w:t>WCAG 2.2 AA for customer, scanner and admin surfaces, including keyboard operation, focus, contrast and screen-reader labels.</w:t>
      </w:r>
    </w:p>
    <w:p>
      <w:pPr>
        <w:pStyle w:val="ListBullet"/>
      </w:pPr>
      <w:r>
        <w:rPr>
          <w:rFonts w:ascii="Aptos" w:hAnsi="Aptos"/>
          <w:b w:val="0"/>
          <w:color w:val="1D2433"/>
          <w:sz w:val="19"/>
        </w:rPr>
        <w:t>Responsive support for current major mobile browsers; scanner optimised for park-managed Android/iOS devices.</w:t>
      </w:r>
    </w:p>
    <w:p>
      <w:pPr>
        <w:pStyle w:val="ListBullet"/>
      </w:pPr>
      <w:r>
        <w:rPr>
          <w:rFonts w:ascii="Aptos" w:hAnsi="Aptos"/>
          <w:b w:val="0"/>
          <w:color w:val="1D2433"/>
          <w:sz w:val="19"/>
        </w:rPr>
        <w:t>European Portuguese and English parity, including transactional templates and legal text.</w:t>
      </w:r>
    </w:p>
    <w:p>
      <w:pPr>
        <w:pStyle w:val="ListBullet"/>
      </w:pPr>
      <w:r>
        <w:rPr>
          <w:rFonts w:ascii="Aptos" w:hAnsi="Aptos"/>
          <w:b w:val="0"/>
          <w:color w:val="1D2433"/>
          <w:sz w:val="19"/>
        </w:rPr>
        <w:t>Locale-aware date, time, number and euro formatting; use UTC internally with park-local display.</w:t>
      </w:r>
    </w:p>
    <w:p>
      <w:pPr>
        <w:pStyle w:val="ListBullet"/>
      </w:pPr>
      <w:r>
        <w:rPr>
          <w:rFonts w:ascii="Aptos" w:hAnsi="Aptos"/>
          <w:b w:val="0"/>
          <w:color w:val="1D2433"/>
          <w:sz w:val="19"/>
        </w:rPr>
        <w:t>No colour-only status; critical success/failure includes icon, text and haptic/audio option where appropriate.</w:t>
      </w:r>
    </w:p>
    <w:p>
      <w:pPr>
        <w:pStyle w:val="ListBullet"/>
      </w:pPr>
      <w:r>
        <w:rPr>
          <w:rFonts w:ascii="Aptos" w:hAnsi="Aptos"/>
          <w:b w:val="0"/>
          <w:color w:val="1D2433"/>
          <w:sz w:val="19"/>
        </w:rPr>
        <w:t>Low-bandwidth behaviour and clear recovery after interrupted actions.</w:t>
      </w:r>
    </w:p>
    <w:p>
      <w:pPr>
        <w:pStyle w:val="Heading2"/>
        <w:keepNext/>
      </w:pPr>
      <w:r>
        <w:t>18.5 Maintainability and operability</w:t>
      </w:r>
    </w:p>
    <w:p>
      <w:pPr>
        <w:pStyle w:val="ListBullet"/>
      </w:pPr>
      <w:r>
        <w:rPr>
          <w:rFonts w:ascii="Aptos" w:hAnsi="Aptos"/>
          <w:b w:val="0"/>
          <w:color w:val="1D2433"/>
          <w:sz w:val="19"/>
        </w:rPr>
        <w:t>Documented local development and reproducible production builds.</w:t>
      </w:r>
    </w:p>
    <w:p>
      <w:pPr>
        <w:pStyle w:val="ListBullet"/>
      </w:pPr>
      <w:r>
        <w:rPr>
          <w:rFonts w:ascii="Aptos" w:hAnsi="Aptos"/>
          <w:b w:val="0"/>
          <w:color w:val="1D2433"/>
          <w:sz w:val="19"/>
        </w:rPr>
        <w:t>Schema migrations are forward-safe, tested on production-scale snapshots and reversible where feasible.</w:t>
      </w:r>
    </w:p>
    <w:p>
      <w:pPr>
        <w:pStyle w:val="ListBullet"/>
      </w:pPr>
      <w:r>
        <w:rPr>
          <w:rFonts w:ascii="Aptos" w:hAnsi="Aptos"/>
          <w:b w:val="0"/>
          <w:color w:val="1D2433"/>
          <w:sz w:val="19"/>
        </w:rPr>
        <w:t>Feature flags have owner, purpose, expiry and safe default; no permanent undocumented flags.</w:t>
      </w:r>
    </w:p>
    <w:p>
      <w:pPr>
        <w:pStyle w:val="ListBullet"/>
      </w:pPr>
      <w:r>
        <w:rPr>
          <w:rFonts w:ascii="Aptos" w:hAnsi="Aptos"/>
          <w:b w:val="0"/>
          <w:color w:val="1D2433"/>
          <w:sz w:val="19"/>
        </w:rPr>
        <w:t>Every service exposes health, readiness and dependency status without leaking secrets.</w:t>
      </w:r>
    </w:p>
    <w:p>
      <w:pPr>
        <w:pStyle w:val="ListBullet"/>
      </w:pPr>
      <w:r>
        <w:rPr>
          <w:rFonts w:ascii="Aptos" w:hAnsi="Aptos"/>
          <w:b w:val="0"/>
          <w:color w:val="1D2433"/>
          <w:sz w:val="19"/>
        </w:rPr>
        <w:t>Structured logs, metrics and traces share correlation IDs.</w:t>
      </w:r>
    </w:p>
    <w:p>
      <w:pPr>
        <w:pStyle w:val="ListBullet"/>
      </w:pPr>
      <w:r>
        <w:rPr>
          <w:rFonts w:ascii="Aptos" w:hAnsi="Aptos"/>
          <w:b w:val="0"/>
          <w:color w:val="1D2433"/>
          <w:sz w:val="19"/>
        </w:rPr>
        <w:t>Runbooks cover top operational alerts and all value/reconciliation failure modes.</w:t>
      </w:r>
    </w:p>
    <w:p>
      <w:pPr>
        <w:pStyle w:val="Heading1"/>
        <w:keepNext/>
      </w:pPr>
      <w:r>
        <w:t>19. API and interface requirements</w:t>
      </w:r>
    </w:p>
    <w:p>
      <w:pPr>
        <w:pStyle w:val="Heading2"/>
        <w:keepNext/>
      </w:pPr>
      <w:r>
        <w:t>19.1 API principles</w:t>
      </w:r>
    </w:p>
    <w:p>
      <w:pPr>
        <w:pStyle w:val="ListBullet"/>
      </w:pPr>
      <w:r>
        <w:rPr>
          <w:rFonts w:ascii="Aptos" w:hAnsi="Aptos"/>
          <w:b w:val="0"/>
          <w:color w:val="1D2433"/>
          <w:sz w:val="19"/>
        </w:rPr>
        <w:t>Versioned HTTP/JSON APIs documented by OpenAPI; event contracts documented by AsyncAPI or equivalent.</w:t>
      </w:r>
    </w:p>
    <w:p>
      <w:pPr>
        <w:pStyle w:val="ListBullet"/>
      </w:pPr>
      <w:r>
        <w:rPr>
          <w:rFonts w:ascii="Aptos" w:hAnsi="Aptos"/>
          <w:b w:val="0"/>
          <w:color w:val="1D2433"/>
          <w:sz w:val="19"/>
        </w:rPr>
        <w:t>Opaque resource identifiers, cursor pagination, stable error codes and localisation-safe messages.</w:t>
      </w:r>
    </w:p>
    <w:p>
      <w:pPr>
        <w:pStyle w:val="ListBullet"/>
      </w:pPr>
      <w:r>
        <w:rPr>
          <w:rFonts w:ascii="Aptos" w:hAnsi="Aptos"/>
          <w:b w:val="0"/>
          <w:color w:val="1D2433"/>
          <w:sz w:val="19"/>
        </w:rPr>
        <w:t>Idempotency key required for value-changing, booking-link, reward, voucher and provider webhook operations.</w:t>
      </w:r>
    </w:p>
    <w:p>
      <w:pPr>
        <w:pStyle w:val="ListBullet"/>
      </w:pPr>
      <w:r>
        <w:rPr>
          <w:rFonts w:ascii="Aptos" w:hAnsi="Aptos"/>
          <w:b w:val="0"/>
          <w:color w:val="1D2433"/>
          <w:sz w:val="19"/>
        </w:rPr>
        <w:t>ETag/version preconditions for conflicting administrative updates.</w:t>
      </w:r>
    </w:p>
    <w:p>
      <w:pPr>
        <w:pStyle w:val="ListBullet"/>
      </w:pPr>
      <w:r>
        <w:rPr>
          <w:rFonts w:ascii="Aptos" w:hAnsi="Aptos"/>
          <w:b w:val="0"/>
          <w:color w:val="1D2433"/>
          <w:sz w:val="19"/>
        </w:rPr>
        <w:t>Machine-readable validation errors with field paths; no stack traces or provider secrets.</w:t>
      </w:r>
    </w:p>
    <w:p>
      <w:pPr>
        <w:pStyle w:val="ListBullet"/>
      </w:pPr>
      <w:r>
        <w:rPr>
          <w:rFonts w:ascii="Aptos" w:hAnsi="Aptos"/>
          <w:b w:val="0"/>
          <w:color w:val="1D2433"/>
          <w:sz w:val="19"/>
        </w:rPr>
        <w:t>Service-to-service authentication and authorisation distinct from customer/workforce sessions.</w:t>
      </w:r>
    </w:p>
    <w:p>
      <w:pPr>
        <w:pStyle w:val="ListBullet"/>
      </w:pPr>
      <w:r>
        <w:rPr>
          <w:rFonts w:ascii="Aptos" w:hAnsi="Aptos"/>
          <w:b w:val="0"/>
          <w:color w:val="1D2433"/>
          <w:sz w:val="19"/>
        </w:rPr>
        <w:t>Rate limits communicated through standard headers; higher-trust integrations use scoped credentials.</w:t>
      </w:r>
    </w:p>
    <w:p>
      <w:pPr>
        <w:pStyle w:val="Heading2"/>
        <w:keepNext/>
      </w:pPr>
      <w:r>
        <w:t>19.2 Required API domains</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shd w:fill="0B2545"/>
            <w:tcMar>
              <w:top w:w="90" w:type="dxa"/>
              <w:start w:w="120" w:type="dxa"/>
              <w:bottom w:w="90" w:type="dxa"/>
              <w:end w:w="120" w:type="dxa"/>
            </w:tcMar>
          </w:tcPr>
          <w:p>
            <w:pPr>
              <w:spacing w:after="0"/>
            </w:pPr>
            <w:r/>
            <w:r>
              <w:rPr>
                <w:rFonts w:ascii="Aptos" w:hAnsi="Aptos"/>
                <w:b/>
                <w:color w:val="FFFFFF"/>
                <w:sz w:val="14"/>
              </w:rPr>
              <w:t>Domain</w:t>
            </w:r>
          </w:p>
        </w:tc>
        <w:tc>
          <w:tcPr>
            <w:tcW w:type="dxa" w:w="7260"/>
            <w:shd w:fill="0B2545"/>
            <w:tcMar>
              <w:top w:w="90" w:type="dxa"/>
              <w:start w:w="120" w:type="dxa"/>
              <w:bottom w:w="90" w:type="dxa"/>
              <w:end w:w="120" w:type="dxa"/>
            </w:tcMar>
          </w:tcPr>
          <w:p>
            <w:pPr>
              <w:spacing w:after="0"/>
            </w:pPr>
            <w:r/>
            <w:r>
              <w:rPr>
                <w:rFonts w:ascii="Aptos" w:hAnsi="Aptos"/>
                <w:b/>
                <w:color w:val="FFFFFF"/>
                <w:sz w:val="14"/>
              </w:rPr>
              <w:t>Representative operations</w:t>
            </w:r>
          </w:p>
        </w:tc>
      </w:tr>
      <w:tr>
        <w:tc>
          <w:tcPr>
            <w:tcW w:type="dxa" w:w="2100"/>
            <w:vAlign w:val="top"/>
            <w:tcMar>
              <w:top w:w="90" w:type="dxa"/>
              <w:start w:w="120" w:type="dxa"/>
              <w:bottom w:w="90" w:type="dxa"/>
              <w:end w:w="120" w:type="dxa"/>
            </w:tcMar>
          </w:tcPr>
          <w:p>
            <w:pPr>
              <w:spacing w:after="0" w:line="250" w:lineRule="auto"/>
            </w:pPr>
            <w:r/>
            <w:r>
              <w:rPr>
                <w:rFonts w:ascii="Aptos" w:hAnsi="Aptos"/>
                <w:b w:val="0"/>
                <w:color w:val="1D2433"/>
                <w:sz w:val="14"/>
              </w:rPr>
              <w:t>Identity/household</w:t>
            </w:r>
          </w:p>
        </w:tc>
        <w:tc>
          <w:tcPr>
            <w:tcW w:type="dxa" w:w="7260"/>
            <w:vAlign w:val="top"/>
            <w:tcMar>
              <w:top w:w="90" w:type="dxa"/>
              <w:start w:w="120" w:type="dxa"/>
              <w:bottom w:w="90" w:type="dxa"/>
              <w:end w:w="120" w:type="dxa"/>
            </w:tcMar>
          </w:tcPr>
          <w:p>
            <w:pPr>
              <w:spacing w:after="0" w:line="250" w:lineRule="auto"/>
            </w:pPr>
            <w:r/>
            <w:r>
              <w:rPr>
                <w:rFonts w:ascii="Aptos" w:hAnsi="Aptos"/>
                <w:b w:val="0"/>
                <w:color w:val="1D2433"/>
                <w:sz w:val="14"/>
              </w:rPr>
              <w:t>register, verify, login, recover, invite adult, add dependant, transfer ownership, merge case.</w:t>
            </w:r>
          </w:p>
        </w:tc>
      </w:tr>
      <w:tr>
        <w:tc>
          <w:tcPr>
            <w:tcW w:type="dxa" w:w="2100"/>
            <w:vAlign w:val="top"/>
            <w:shd w:fill="F6F8FB"/>
            <w:tcMar>
              <w:top w:w="90" w:type="dxa"/>
              <w:start w:w="120" w:type="dxa"/>
              <w:bottom w:w="90" w:type="dxa"/>
              <w:end w:w="120" w:type="dxa"/>
            </w:tcMar>
          </w:tcPr>
          <w:p>
            <w:pPr>
              <w:spacing w:after="0" w:line="250" w:lineRule="auto"/>
            </w:pPr>
            <w:r/>
            <w:r>
              <w:rPr>
                <w:rFonts w:ascii="Aptos" w:hAnsi="Aptos"/>
                <w:b w:val="0"/>
                <w:color w:val="1D2433"/>
                <w:sz w:val="14"/>
              </w:rPr>
              <w:t>Membership/card</w:t>
            </w:r>
          </w:p>
        </w:tc>
        <w:tc>
          <w:tcPr>
            <w:tcW w:type="dxa" w:w="7260"/>
            <w:vAlign w:val="top"/>
            <w:shd w:fill="F6F8FB"/>
            <w:tcMar>
              <w:top w:w="90" w:type="dxa"/>
              <w:start w:w="120" w:type="dxa"/>
              <w:bottom w:w="90" w:type="dxa"/>
              <w:end w:w="120" w:type="dxa"/>
            </w:tcMar>
          </w:tcPr>
          <w:p>
            <w:pPr>
              <w:spacing w:after="0" w:line="250" w:lineRule="auto"/>
            </w:pPr>
            <w:r/>
            <w:r>
              <w:rPr>
                <w:rFonts w:ascii="Aptos" w:hAnsi="Aptos"/>
                <w:b w:val="0"/>
                <w:color w:val="1D2433"/>
                <w:sz w:val="14"/>
              </w:rPr>
              <w:t>status, card token, wallet pass issue/revoke, reissue, preferences.</w:t>
            </w:r>
          </w:p>
        </w:tc>
      </w:tr>
      <w:tr>
        <w:tc>
          <w:tcPr>
            <w:tcW w:type="dxa" w:w="2100"/>
            <w:vAlign w:val="top"/>
            <w:tcMar>
              <w:top w:w="90" w:type="dxa"/>
              <w:start w:w="120" w:type="dxa"/>
              <w:bottom w:w="90" w:type="dxa"/>
              <w:end w:w="120" w:type="dxa"/>
            </w:tcMar>
          </w:tcPr>
          <w:p>
            <w:pPr>
              <w:spacing w:after="0" w:line="250" w:lineRule="auto"/>
            </w:pPr>
            <w:r/>
            <w:r>
              <w:rPr>
                <w:rFonts w:ascii="Aptos" w:hAnsi="Aptos"/>
                <w:b w:val="0"/>
                <w:color w:val="1D2433"/>
                <w:sz w:val="14"/>
              </w:rPr>
              <w:t>Bookings/visits</w:t>
            </w:r>
          </w:p>
        </w:tc>
        <w:tc>
          <w:tcPr>
            <w:tcW w:type="dxa" w:w="7260"/>
            <w:vAlign w:val="top"/>
            <w:tcMar>
              <w:top w:w="90" w:type="dxa"/>
              <w:start w:w="120" w:type="dxa"/>
              <w:bottom w:w="90" w:type="dxa"/>
              <w:end w:w="120" w:type="dxa"/>
            </w:tcMar>
          </w:tcPr>
          <w:p>
            <w:pPr>
              <w:spacing w:after="0" w:line="250" w:lineRule="auto"/>
            </w:pPr>
            <w:r/>
            <w:r>
              <w:rPr>
                <w:rFonts w:ascii="Aptos" w:hAnsi="Aptos"/>
                <w:b w:val="0"/>
                <w:color w:val="1D2433"/>
                <w:sz w:val="14"/>
              </w:rPr>
              <w:t>ingest booking, attach member, check-in, complete, cancel, reconcile.</w:t>
            </w:r>
          </w:p>
        </w:tc>
      </w:tr>
      <w:tr>
        <w:tc>
          <w:tcPr>
            <w:tcW w:type="dxa" w:w="2100"/>
            <w:vAlign w:val="top"/>
            <w:shd w:fill="F6F8FB"/>
            <w:tcMar>
              <w:top w:w="90" w:type="dxa"/>
              <w:start w:w="120" w:type="dxa"/>
              <w:bottom w:w="90" w:type="dxa"/>
              <w:end w:w="120" w:type="dxa"/>
            </w:tcMar>
          </w:tcPr>
          <w:p>
            <w:pPr>
              <w:spacing w:after="0" w:line="250" w:lineRule="auto"/>
            </w:pPr>
            <w:r/>
            <w:r>
              <w:rPr>
                <w:rFonts w:ascii="Aptos" w:hAnsi="Aptos"/>
                <w:b w:val="0"/>
                <w:color w:val="1D2433"/>
                <w:sz w:val="14"/>
              </w:rPr>
              <w:t>Transactions</w:t>
            </w:r>
          </w:p>
        </w:tc>
        <w:tc>
          <w:tcPr>
            <w:tcW w:type="dxa" w:w="7260"/>
            <w:vAlign w:val="top"/>
            <w:shd w:fill="F6F8FB"/>
            <w:tcMar>
              <w:top w:w="90" w:type="dxa"/>
              <w:start w:w="120" w:type="dxa"/>
              <w:bottom w:w="90" w:type="dxa"/>
              <w:end w:w="120" w:type="dxa"/>
            </w:tcMar>
          </w:tcPr>
          <w:p>
            <w:pPr>
              <w:spacing w:after="0" w:line="250" w:lineRule="auto"/>
            </w:pPr>
            <w:r/>
            <w:r>
              <w:rPr>
                <w:rFonts w:ascii="Aptos" w:hAnsi="Aptos"/>
                <w:b w:val="0"/>
                <w:color w:val="1D2433"/>
                <w:sz w:val="14"/>
              </w:rPr>
              <w:t>ingest sale/refund, line items, receipt claim, reconciliation.</w:t>
            </w:r>
          </w:p>
        </w:tc>
      </w:tr>
      <w:tr>
        <w:tc>
          <w:tcPr>
            <w:tcW w:type="dxa" w:w="2100"/>
            <w:vAlign w:val="top"/>
            <w:tcMar>
              <w:top w:w="90" w:type="dxa"/>
              <w:start w:w="120" w:type="dxa"/>
              <w:bottom w:w="90" w:type="dxa"/>
              <w:end w:w="120" w:type="dxa"/>
            </w:tcMar>
          </w:tcPr>
          <w:p>
            <w:pPr>
              <w:spacing w:after="0" w:line="250" w:lineRule="auto"/>
            </w:pPr>
            <w:r/>
            <w:r>
              <w:rPr>
                <w:rFonts w:ascii="Aptos" w:hAnsi="Aptos"/>
                <w:b w:val="0"/>
                <w:color w:val="1D2433"/>
                <w:sz w:val="14"/>
              </w:rPr>
              <w:t>Ledger</w:t>
            </w:r>
          </w:p>
        </w:tc>
        <w:tc>
          <w:tcPr>
            <w:tcW w:type="dxa" w:w="7260"/>
            <w:vAlign w:val="top"/>
            <w:tcMar>
              <w:top w:w="90" w:type="dxa"/>
              <w:start w:w="120" w:type="dxa"/>
              <w:bottom w:w="90" w:type="dxa"/>
              <w:end w:w="120" w:type="dxa"/>
            </w:tcMar>
          </w:tcPr>
          <w:p>
            <w:pPr>
              <w:spacing w:after="0" w:line="250" w:lineRule="auto"/>
            </w:pPr>
            <w:r/>
            <w:r>
              <w:rPr>
                <w:rFonts w:ascii="Aptos" w:hAnsi="Aptos"/>
                <w:b w:val="0"/>
                <w:color w:val="1D2433"/>
                <w:sz w:val="14"/>
              </w:rPr>
              <w:t>balance read, transaction history, earn/reverse command, correction case.</w:t>
            </w:r>
          </w:p>
        </w:tc>
      </w:tr>
      <w:tr>
        <w:tc>
          <w:tcPr>
            <w:tcW w:type="dxa" w:w="2100"/>
            <w:vAlign w:val="top"/>
            <w:shd w:fill="F6F8FB"/>
            <w:tcMar>
              <w:top w:w="90" w:type="dxa"/>
              <w:start w:w="120" w:type="dxa"/>
              <w:bottom w:w="90" w:type="dxa"/>
              <w:end w:w="120" w:type="dxa"/>
            </w:tcMar>
          </w:tcPr>
          <w:p>
            <w:pPr>
              <w:spacing w:after="0" w:line="250" w:lineRule="auto"/>
            </w:pPr>
            <w:r/>
            <w:r>
              <w:rPr>
                <w:rFonts w:ascii="Aptos" w:hAnsi="Aptos"/>
                <w:b w:val="0"/>
                <w:color w:val="1D2433"/>
                <w:sz w:val="14"/>
              </w:rPr>
              <w:t>Rewards</w:t>
            </w:r>
          </w:p>
        </w:tc>
        <w:tc>
          <w:tcPr>
            <w:tcW w:type="dxa" w:w="7260"/>
            <w:vAlign w:val="top"/>
            <w:shd w:fill="F6F8FB"/>
            <w:tcMar>
              <w:top w:w="90" w:type="dxa"/>
              <w:start w:w="120" w:type="dxa"/>
              <w:bottom w:w="90" w:type="dxa"/>
              <w:end w:w="120" w:type="dxa"/>
            </w:tcMar>
          </w:tcPr>
          <w:p>
            <w:pPr>
              <w:spacing w:after="0" w:line="250" w:lineRule="auto"/>
            </w:pPr>
            <w:r/>
            <w:r>
              <w:rPr>
                <w:rFonts w:ascii="Aptos" w:hAnsi="Aptos"/>
                <w:b w:val="0"/>
                <w:color w:val="1D2433"/>
                <w:sz w:val="14"/>
              </w:rPr>
              <w:t>catalogue, eligibility, claim, reserve, redeem, expire, reverse.</w:t>
            </w:r>
          </w:p>
        </w:tc>
      </w:tr>
      <w:tr>
        <w:tc>
          <w:tcPr>
            <w:tcW w:type="dxa" w:w="2100"/>
            <w:vAlign w:val="top"/>
            <w:tcMar>
              <w:top w:w="90" w:type="dxa"/>
              <w:start w:w="120" w:type="dxa"/>
              <w:bottom w:w="90" w:type="dxa"/>
              <w:end w:w="120" w:type="dxa"/>
            </w:tcMar>
          </w:tcPr>
          <w:p>
            <w:pPr>
              <w:spacing w:after="0" w:line="250" w:lineRule="auto"/>
            </w:pPr>
            <w:r/>
            <w:r>
              <w:rPr>
                <w:rFonts w:ascii="Aptos" w:hAnsi="Aptos"/>
                <w:b w:val="0"/>
                <w:color w:val="1D2433"/>
                <w:sz w:val="14"/>
              </w:rPr>
              <w:t>Vouchers/value</w:t>
            </w:r>
          </w:p>
        </w:tc>
        <w:tc>
          <w:tcPr>
            <w:tcW w:type="dxa" w:w="7260"/>
            <w:vAlign w:val="top"/>
            <w:tcMar>
              <w:top w:w="90" w:type="dxa"/>
              <w:start w:w="120" w:type="dxa"/>
              <w:bottom w:w="90" w:type="dxa"/>
              <w:end w:w="120" w:type="dxa"/>
            </w:tcMar>
          </w:tcPr>
          <w:p>
            <w:pPr>
              <w:spacing w:after="0" w:line="250" w:lineRule="auto"/>
            </w:pPr>
            <w:r/>
            <w:r>
              <w:rPr>
                <w:rFonts w:ascii="Aptos" w:hAnsi="Aptos"/>
                <w:b w:val="0"/>
                <w:color w:val="1D2433"/>
                <w:sz w:val="14"/>
              </w:rPr>
              <w:t>purchase, deliver, claim, validate, redeem, refund, balance.</w:t>
            </w:r>
          </w:p>
        </w:tc>
      </w:tr>
      <w:tr>
        <w:tc>
          <w:tcPr>
            <w:tcW w:type="dxa" w:w="2100"/>
            <w:vAlign w:val="top"/>
            <w:shd w:fill="F6F8FB"/>
            <w:tcMar>
              <w:top w:w="90" w:type="dxa"/>
              <w:start w:w="120" w:type="dxa"/>
              <w:bottom w:w="90" w:type="dxa"/>
              <w:end w:w="120" w:type="dxa"/>
            </w:tcMar>
          </w:tcPr>
          <w:p>
            <w:pPr>
              <w:spacing w:after="0" w:line="250" w:lineRule="auto"/>
            </w:pPr>
            <w:r/>
            <w:r>
              <w:rPr>
                <w:rFonts w:ascii="Aptos" w:hAnsi="Aptos"/>
                <w:b w:val="0"/>
                <w:color w:val="1D2433"/>
                <w:sz w:val="14"/>
              </w:rPr>
              <w:t>Membership/pass</w:t>
            </w:r>
          </w:p>
        </w:tc>
        <w:tc>
          <w:tcPr>
            <w:tcW w:type="dxa" w:w="7260"/>
            <w:vAlign w:val="top"/>
            <w:shd w:fill="F6F8FB"/>
            <w:tcMar>
              <w:top w:w="90" w:type="dxa"/>
              <w:start w:w="120" w:type="dxa"/>
              <w:bottom w:w="90" w:type="dxa"/>
              <w:end w:w="120" w:type="dxa"/>
            </w:tcMar>
          </w:tcPr>
          <w:p>
            <w:pPr>
              <w:spacing w:after="0" w:line="250" w:lineRule="auto"/>
            </w:pPr>
            <w:r/>
            <w:r>
              <w:rPr>
                <w:rFonts w:ascii="Aptos" w:hAnsi="Aptos"/>
                <w:b w:val="0"/>
                <w:color w:val="1D2433"/>
                <w:sz w:val="14"/>
              </w:rPr>
              <w:t>subscribe, consume use, renew, pause, cancel, payment event.</w:t>
            </w:r>
          </w:p>
        </w:tc>
      </w:tr>
      <w:tr>
        <w:tc>
          <w:tcPr>
            <w:tcW w:type="dxa" w:w="2100"/>
            <w:vAlign w:val="top"/>
            <w:tcMar>
              <w:top w:w="90" w:type="dxa"/>
              <w:start w:w="120" w:type="dxa"/>
              <w:bottom w:w="90" w:type="dxa"/>
              <w:end w:w="120" w:type="dxa"/>
            </w:tcMar>
          </w:tcPr>
          <w:p>
            <w:pPr>
              <w:spacing w:after="0" w:line="250" w:lineRule="auto"/>
            </w:pPr>
            <w:r/>
            <w:r>
              <w:rPr>
                <w:rFonts w:ascii="Aptos" w:hAnsi="Aptos"/>
                <w:b w:val="0"/>
                <w:color w:val="1D2433"/>
                <w:sz w:val="14"/>
              </w:rPr>
              <w:t>Referral</w:t>
            </w:r>
          </w:p>
        </w:tc>
        <w:tc>
          <w:tcPr>
            <w:tcW w:type="dxa" w:w="7260"/>
            <w:vAlign w:val="top"/>
            <w:tcMar>
              <w:top w:w="90" w:type="dxa"/>
              <w:start w:w="120" w:type="dxa"/>
              <w:bottom w:w="90" w:type="dxa"/>
              <w:end w:w="120" w:type="dxa"/>
            </w:tcMar>
          </w:tcPr>
          <w:p>
            <w:pPr>
              <w:spacing w:after="0" w:line="250" w:lineRule="auto"/>
            </w:pPr>
            <w:r/>
            <w:r>
              <w:rPr>
                <w:rFonts w:ascii="Aptos" w:hAnsi="Aptos"/>
                <w:b w:val="0"/>
                <w:color w:val="1D2433"/>
                <w:sz w:val="14"/>
              </w:rPr>
              <w:t>create code, accept attribution, qualify, reward, invalidate.</w:t>
            </w:r>
          </w:p>
        </w:tc>
      </w:tr>
      <w:tr>
        <w:tc>
          <w:tcPr>
            <w:tcW w:type="dxa" w:w="2100"/>
            <w:vAlign w:val="top"/>
            <w:shd w:fill="F6F8FB"/>
            <w:tcMar>
              <w:top w:w="90" w:type="dxa"/>
              <w:start w:w="120" w:type="dxa"/>
              <w:bottom w:w="90" w:type="dxa"/>
              <w:end w:w="120" w:type="dxa"/>
            </w:tcMar>
          </w:tcPr>
          <w:p>
            <w:pPr>
              <w:spacing w:after="0" w:line="250" w:lineRule="auto"/>
            </w:pPr>
            <w:r/>
            <w:r>
              <w:rPr>
                <w:rFonts w:ascii="Aptos" w:hAnsi="Aptos"/>
                <w:b w:val="0"/>
                <w:color w:val="1D2433"/>
                <w:sz w:val="14"/>
              </w:rPr>
              <w:t>Campaign</w:t>
            </w:r>
          </w:p>
        </w:tc>
        <w:tc>
          <w:tcPr>
            <w:tcW w:type="dxa" w:w="7260"/>
            <w:vAlign w:val="top"/>
            <w:shd w:fill="F6F8FB"/>
            <w:tcMar>
              <w:top w:w="90" w:type="dxa"/>
              <w:start w:w="120" w:type="dxa"/>
              <w:bottom w:w="90" w:type="dxa"/>
              <w:end w:w="120" w:type="dxa"/>
            </w:tcMar>
          </w:tcPr>
          <w:p>
            <w:pPr>
              <w:spacing w:after="0" w:line="250" w:lineRule="auto"/>
            </w:pPr>
            <w:r/>
            <w:r>
              <w:rPr>
                <w:rFonts w:ascii="Aptos" w:hAnsi="Aptos"/>
                <w:b w:val="0"/>
                <w:color w:val="1D2433"/>
                <w:sz w:val="14"/>
              </w:rPr>
              <w:t>segment preview, journey version, approve, schedule, suppress, event callback.</w:t>
            </w:r>
          </w:p>
        </w:tc>
      </w:tr>
      <w:tr>
        <w:tc>
          <w:tcPr>
            <w:tcW w:type="dxa" w:w="2100"/>
            <w:vAlign w:val="top"/>
            <w:tcMar>
              <w:top w:w="90" w:type="dxa"/>
              <w:start w:w="120" w:type="dxa"/>
              <w:bottom w:w="90" w:type="dxa"/>
              <w:end w:w="120" w:type="dxa"/>
            </w:tcMar>
          </w:tcPr>
          <w:p>
            <w:pPr>
              <w:spacing w:after="0" w:line="250" w:lineRule="auto"/>
            </w:pPr>
            <w:r/>
            <w:r>
              <w:rPr>
                <w:rFonts w:ascii="Aptos" w:hAnsi="Aptos"/>
                <w:b w:val="0"/>
                <w:color w:val="1D2433"/>
                <w:sz w:val="14"/>
              </w:rPr>
              <w:t>Admin/operations</w:t>
            </w:r>
          </w:p>
        </w:tc>
        <w:tc>
          <w:tcPr>
            <w:tcW w:type="dxa" w:w="7260"/>
            <w:vAlign w:val="top"/>
            <w:tcMar>
              <w:top w:w="90" w:type="dxa"/>
              <w:start w:w="120" w:type="dxa"/>
              <w:bottom w:w="90" w:type="dxa"/>
              <w:end w:w="120" w:type="dxa"/>
            </w:tcMar>
          </w:tcPr>
          <w:p>
            <w:pPr>
              <w:spacing w:after="0" w:line="250" w:lineRule="auto"/>
            </w:pPr>
            <w:r/>
            <w:r>
              <w:rPr>
                <w:rFonts w:ascii="Aptos" w:hAnsi="Aptos"/>
                <w:b w:val="0"/>
                <w:color w:val="1D2433"/>
                <w:sz w:val="14"/>
              </w:rPr>
              <w:t>config versions, devices, staff scopes, cases, exports, audit search.</w:t>
            </w:r>
          </w:p>
        </w:tc>
      </w:tr>
      <w:tr>
        <w:tc>
          <w:tcPr>
            <w:tcW w:type="dxa" w:w="2100"/>
            <w:vAlign w:val="top"/>
            <w:shd w:fill="F6F8FB"/>
            <w:tcMar>
              <w:top w:w="90" w:type="dxa"/>
              <w:start w:w="120" w:type="dxa"/>
              <w:bottom w:w="90" w:type="dxa"/>
              <w:end w:w="120" w:type="dxa"/>
            </w:tcMar>
          </w:tcPr>
          <w:p>
            <w:pPr>
              <w:spacing w:after="0" w:line="250" w:lineRule="auto"/>
            </w:pPr>
            <w:r/>
            <w:r>
              <w:rPr>
                <w:rFonts w:ascii="Aptos" w:hAnsi="Aptos"/>
                <w:b w:val="0"/>
                <w:color w:val="1D2433"/>
                <w:sz w:val="14"/>
              </w:rPr>
              <w:t>Privacy</w:t>
            </w:r>
          </w:p>
        </w:tc>
        <w:tc>
          <w:tcPr>
            <w:tcW w:type="dxa" w:w="7260"/>
            <w:vAlign w:val="top"/>
            <w:shd w:fill="F6F8FB"/>
            <w:tcMar>
              <w:top w:w="90" w:type="dxa"/>
              <w:start w:w="120" w:type="dxa"/>
              <w:bottom w:w="90" w:type="dxa"/>
              <w:end w:w="120" w:type="dxa"/>
            </w:tcMar>
          </w:tcPr>
          <w:p>
            <w:pPr>
              <w:spacing w:after="0" w:line="250" w:lineRule="auto"/>
            </w:pPr>
            <w:r/>
            <w:r>
              <w:rPr>
                <w:rFonts w:ascii="Aptos" w:hAnsi="Aptos"/>
                <w:b w:val="0"/>
                <w:color w:val="1D2433"/>
                <w:sz w:val="14"/>
              </w:rPr>
              <w:t>consent, preferences, DSAR, export, restriction, erasure.</w:t>
            </w:r>
          </w:p>
        </w:tc>
      </w:tr>
    </w:tbl>
    <w:p>
      <w:pPr>
        <w:spacing w:after="20"/>
      </w:pPr>
    </w:p>
    <w:p>
      <w:pPr>
        <w:pStyle w:val="Heading2"/>
        <w:keepNext/>
      </w:pPr>
      <w:r>
        <w:t>19.3 Standard command response</w:t>
      </w:r>
    </w:p>
    <w:p>
      <w:r>
        <w:rPr>
          <w:rFonts w:ascii="Aptos" w:hAnsi="Aptos"/>
          <w:b w:val="0"/>
          <w:i w:val="0"/>
          <w:color w:val="1D2433"/>
          <w:sz w:val="19"/>
        </w:rPr>
        <w:t>Every value-changing command returns: operation ID; resource and resulting version; accepted/committed status; canonical timestamp; idempotency outcome; human-safe summary; and correlation ID. Asynchronous commands return a status resource and terminal outcome. A client timeout must be safely retryable with the same idempotency key.</w:t>
      </w:r>
    </w:p>
    <w:p>
      <w:pPr>
        <w:pStyle w:val="Heading1"/>
        <w:keepNext/>
      </w:pPr>
      <w:r>
        <w:t>20. Detailed end-to-end journeys</w:t>
      </w:r>
    </w:p>
    <w:p>
      <w:pPr>
        <w:pStyle w:val="Heading2"/>
        <w:keepNext/>
      </w:pPr>
      <w:r>
        <w:t>20.1 New household joins at reception</w:t>
      </w:r>
    </w:p>
    <w:p>
      <w:pPr>
        <w:pStyle w:val="ListNumber"/>
      </w:pPr>
      <w:r>
        <w:rPr>
          <w:rFonts w:ascii="Aptos" w:hAnsi="Aptos"/>
          <w:b w:val="0"/>
          <w:color w:val="1D2433"/>
          <w:sz w:val="19"/>
        </w:rPr>
        <w:t>Adult scans a park QR or staff sends a one-time invite to a verified channel.</w:t>
      </w:r>
    </w:p>
    <w:p>
      <w:pPr>
        <w:pStyle w:val="ListNumber"/>
      </w:pPr>
      <w:r>
        <w:rPr>
          <w:rFonts w:ascii="Aptos" w:hAnsi="Aptos"/>
          <w:b w:val="0"/>
          <w:color w:val="1D2433"/>
          <w:sz w:val="19"/>
        </w:rPr>
        <w:t>Adult sees the Quantum Club value proposition, essential privacy information and optional channel choices.</w:t>
      </w:r>
    </w:p>
    <w:p>
      <w:pPr>
        <w:pStyle w:val="ListNumber"/>
      </w:pPr>
      <w:r>
        <w:rPr>
          <w:rFonts w:ascii="Aptos" w:hAnsi="Aptos"/>
          <w:b w:val="0"/>
          <w:color w:val="1D2433"/>
          <w:sz w:val="19"/>
        </w:rPr>
        <w:t>Adult verifies email/mobile and creates or claims a household.</w:t>
      </w:r>
    </w:p>
    <w:p>
      <w:pPr>
        <w:pStyle w:val="ListNumber"/>
      </w:pPr>
      <w:r>
        <w:rPr>
          <w:rFonts w:ascii="Aptos" w:hAnsi="Aptos"/>
          <w:b w:val="0"/>
          <w:color w:val="1D2433"/>
          <w:sz w:val="19"/>
        </w:rPr>
        <w:t>Adult optionally adds the current participant as a dependant using minimal fields.</w:t>
      </w:r>
    </w:p>
    <w:p>
      <w:pPr>
        <w:pStyle w:val="ListNumber"/>
      </w:pPr>
      <w:r>
        <w:rPr>
          <w:rFonts w:ascii="Aptos" w:hAnsi="Aptos"/>
          <w:b w:val="0"/>
          <w:color w:val="1D2433"/>
          <w:sz w:val="19"/>
        </w:rPr>
        <w:t>System checks for an existing booking/customer match without disclosing candidates.</w:t>
      </w:r>
    </w:p>
    <w:p>
      <w:pPr>
        <w:pStyle w:val="ListNumber"/>
      </w:pPr>
      <w:r>
        <w:rPr>
          <w:rFonts w:ascii="Aptos" w:hAnsi="Aptos"/>
          <w:b w:val="0"/>
          <w:color w:val="1D2433"/>
          <w:sz w:val="19"/>
        </w:rPr>
        <w:t>Member card is issued in PWA and offered to Apple/Google Wallet.</w:t>
      </w:r>
    </w:p>
    <w:p>
      <w:pPr>
        <w:pStyle w:val="ListNumber"/>
      </w:pPr>
      <w:r>
        <w:rPr>
          <w:rFonts w:ascii="Aptos" w:hAnsi="Aptos"/>
          <w:b w:val="0"/>
          <w:color w:val="1D2433"/>
          <w:sz w:val="19"/>
        </w:rPr>
        <w:t>Staff scan attaches the eligible visit; source event is idempotently posted.</w:t>
      </w:r>
    </w:p>
    <w:p>
      <w:pPr>
        <w:pStyle w:val="ListNumber"/>
      </w:pPr>
      <w:r>
        <w:rPr>
          <w:rFonts w:ascii="Aptos" w:hAnsi="Aptos"/>
          <w:b w:val="0"/>
          <w:color w:val="1D2433"/>
          <w:sz w:val="19"/>
        </w:rPr>
        <w:t>Rules engine posts value, updates progress and returns a plain-language receipt.</w:t>
      </w:r>
    </w:p>
    <w:p>
      <w:pPr>
        <w:pStyle w:val="ListNumber"/>
      </w:pPr>
      <w:r>
        <w:rPr>
          <w:rFonts w:ascii="Aptos" w:hAnsi="Aptos"/>
          <w:b w:val="0"/>
          <w:color w:val="1D2433"/>
          <w:sz w:val="19"/>
        </w:rPr>
        <w:t>Adult sees current status and next relevant benefit; welcome journey respects consent.</w:t>
      </w:r>
    </w:p>
    <w:p>
      <w:pPr>
        <w:pStyle w:val="Heading2"/>
        <w:keepNext/>
      </w:pPr>
      <w:r>
        <w:t>20.2 Online booking by an existing member</w:t>
      </w:r>
    </w:p>
    <w:p>
      <w:pPr>
        <w:pStyle w:val="ListNumber"/>
      </w:pPr>
      <w:r>
        <w:rPr>
          <w:rFonts w:ascii="Aptos" w:hAnsi="Aptos"/>
          <w:b w:val="0"/>
          <w:color w:val="1D2433"/>
          <w:sz w:val="19"/>
        </w:rPr>
        <w:t>Customer follows a logged-in booking deep link or supplies verified member identity to the booking flow.</w:t>
      </w:r>
    </w:p>
    <w:p>
      <w:pPr>
        <w:pStyle w:val="ListNumber"/>
      </w:pPr>
      <w:r>
        <w:rPr>
          <w:rFonts w:ascii="Aptos" w:hAnsi="Aptos"/>
          <w:b w:val="0"/>
          <w:color w:val="1D2433"/>
          <w:sz w:val="19"/>
        </w:rPr>
        <w:t>Booking adapter attaches opaque household/member reference to the booking where supported.</w:t>
      </w:r>
    </w:p>
    <w:p>
      <w:pPr>
        <w:pStyle w:val="ListNumber"/>
      </w:pPr>
      <w:r>
        <w:rPr>
          <w:rFonts w:ascii="Aptos" w:hAnsi="Aptos"/>
          <w:b w:val="0"/>
          <w:color w:val="1D2433"/>
          <w:sz w:val="19"/>
        </w:rPr>
        <w:t>Eligible membership, pass, voucher or reward options are reserved atomically during checkout.</w:t>
      </w:r>
    </w:p>
    <w:p>
      <w:pPr>
        <w:pStyle w:val="ListNumber"/>
      </w:pPr>
      <w:r>
        <w:rPr>
          <w:rFonts w:ascii="Aptos" w:hAnsi="Aptos"/>
          <w:b w:val="0"/>
          <w:color w:val="1D2433"/>
          <w:sz w:val="19"/>
        </w:rPr>
        <w:t>Payment completion commits use/redemption and booking; failure releases reservations.</w:t>
      </w:r>
    </w:p>
    <w:p>
      <w:pPr>
        <w:pStyle w:val="ListNumber"/>
      </w:pPr>
      <w:r>
        <w:rPr>
          <w:rFonts w:ascii="Aptos" w:hAnsi="Aptos"/>
          <w:b w:val="0"/>
          <w:color w:val="1D2433"/>
          <w:sz w:val="19"/>
        </w:rPr>
        <w:t>Attendance completion triggers base earning; cancellation/refund reverses dependent effects.</w:t>
      </w:r>
    </w:p>
    <w:p>
      <w:pPr>
        <w:pStyle w:val="ListNumber"/>
      </w:pPr>
      <w:r>
        <w:rPr>
          <w:rFonts w:ascii="Aptos" w:hAnsi="Aptos"/>
          <w:b w:val="0"/>
          <w:color w:val="1D2433"/>
          <w:sz w:val="19"/>
        </w:rPr>
        <w:t>Confirmation and post-visit journey are de-duplicated against booking-provider messages.</w:t>
      </w:r>
    </w:p>
    <w:p>
      <w:pPr>
        <w:pStyle w:val="Heading2"/>
        <w:keepNext/>
      </w:pPr>
      <w:r>
        <w:t>20.3 Reward redemption at park</w:t>
      </w:r>
    </w:p>
    <w:p>
      <w:pPr>
        <w:pStyle w:val="ListNumber"/>
      </w:pPr>
      <w:r>
        <w:rPr>
          <w:rFonts w:ascii="Aptos" w:hAnsi="Aptos"/>
          <w:b w:val="0"/>
          <w:color w:val="1D2433"/>
          <w:sz w:val="19"/>
        </w:rPr>
        <w:t>Customer selects a reward and, if needed, reserves it for a park/date.</w:t>
      </w:r>
    </w:p>
    <w:p>
      <w:pPr>
        <w:pStyle w:val="ListNumber"/>
      </w:pPr>
      <w:r>
        <w:rPr>
          <w:rFonts w:ascii="Aptos" w:hAnsi="Aptos"/>
          <w:b w:val="0"/>
          <w:color w:val="1D2433"/>
          <w:sz w:val="19"/>
        </w:rPr>
        <w:t>Customer presents fresh QR; staff scanner validates member, park, product, time, stock and state.</w:t>
      </w:r>
    </w:p>
    <w:p>
      <w:pPr>
        <w:pStyle w:val="ListNumber"/>
      </w:pPr>
      <w:r>
        <w:rPr>
          <w:rFonts w:ascii="Aptos" w:hAnsi="Aptos"/>
          <w:b w:val="0"/>
          <w:color w:val="1D2433"/>
          <w:sz w:val="19"/>
        </w:rPr>
        <w:t>Staff confirms fulfilment; system atomically debits points/uses or marks reward redeemed.</w:t>
      </w:r>
    </w:p>
    <w:p>
      <w:pPr>
        <w:pStyle w:val="ListNumber"/>
      </w:pPr>
      <w:r>
        <w:rPr>
          <w:rFonts w:ascii="Aptos" w:hAnsi="Aptos"/>
          <w:b w:val="0"/>
          <w:color w:val="1D2433"/>
          <w:sz w:val="19"/>
        </w:rPr>
        <w:t>Both staff and customer receive signed success status and receipt reference.</w:t>
      </w:r>
    </w:p>
    <w:p>
      <w:pPr>
        <w:pStyle w:val="ListNumber"/>
      </w:pPr>
      <w:r>
        <w:rPr>
          <w:rFonts w:ascii="Aptos" w:hAnsi="Aptos"/>
          <w:b w:val="0"/>
          <w:color w:val="1D2433"/>
          <w:sz w:val="19"/>
        </w:rPr>
        <w:t>A correction, if needed, uses a manager-approved compensating transaction—not deletion.</w:t>
      </w:r>
    </w:p>
    <w:p>
      <w:pPr>
        <w:pStyle w:val="Heading2"/>
        <w:keepNext/>
      </w:pPr>
      <w:r>
        <w:t>20.4 Party conversion journey</w:t>
      </w:r>
    </w:p>
    <w:p>
      <w:pPr>
        <w:pStyle w:val="ListNumber"/>
      </w:pPr>
      <w:r>
        <w:rPr>
          <w:rFonts w:ascii="Aptos" w:hAnsi="Aptos"/>
          <w:b w:val="0"/>
          <w:color w:val="1D2433"/>
          <w:sz w:val="19"/>
        </w:rPr>
        <w:t>System identifies an authorised adult household entering the genuine party-planning window based on supplied birthday month/day or explicit interest.</w:t>
      </w:r>
    </w:p>
    <w:p>
      <w:pPr>
        <w:pStyle w:val="ListNumber"/>
      </w:pPr>
      <w:r>
        <w:rPr>
          <w:rFonts w:ascii="Aptos" w:hAnsi="Aptos"/>
          <w:b w:val="0"/>
          <w:color w:val="1D2433"/>
          <w:sz w:val="19"/>
        </w:rPr>
        <w:t>Eligibility excludes recent party bookings, suppressions, frequency conflicts and unavailable park/product combinations.</w:t>
      </w:r>
    </w:p>
    <w:p>
      <w:pPr>
        <w:pStyle w:val="ListNumber"/>
      </w:pPr>
      <w:r>
        <w:rPr>
          <w:rFonts w:ascii="Aptos" w:hAnsi="Aptos"/>
          <w:b w:val="0"/>
          <w:color w:val="1D2433"/>
          <w:sz w:val="19"/>
        </w:rPr>
        <w:t>Journey provides planning information, package comparison, availability link and a controlled benefit where configured.</w:t>
      </w:r>
    </w:p>
    <w:p>
      <w:pPr>
        <w:pStyle w:val="ListNumber"/>
      </w:pPr>
      <w:r>
        <w:rPr>
          <w:rFonts w:ascii="Aptos" w:hAnsi="Aptos"/>
          <w:b w:val="0"/>
          <w:color w:val="1D2433"/>
          <w:sz w:val="19"/>
        </w:rPr>
        <w:t>A completed party booking exits nurture and enters pre-arrival operations.</w:t>
      </w:r>
    </w:p>
    <w:p>
      <w:pPr>
        <w:pStyle w:val="ListNumber"/>
      </w:pPr>
      <w:r>
        <w:rPr>
          <w:rFonts w:ascii="Aptos" w:hAnsi="Aptos"/>
          <w:b w:val="0"/>
          <w:color w:val="1D2433"/>
          <w:sz w:val="19"/>
        </w:rPr>
        <w:t>Attendance and post-party feedback are recorded; reward economics and attributable/incremental outcome are reported separately.</w:t>
      </w:r>
    </w:p>
    <w:p>
      <w:pPr>
        <w:pStyle w:val="Heading2"/>
        <w:keepNext/>
      </w:pPr>
      <w:r>
        <w:t>20.5 Refund after points were spent</w:t>
      </w:r>
    </w:p>
    <w:p>
      <w:pPr>
        <w:pStyle w:val="ListNumber"/>
      </w:pPr>
      <w:r>
        <w:rPr>
          <w:rFonts w:ascii="Aptos" w:hAnsi="Aptos"/>
          <w:b w:val="0"/>
          <w:color w:val="1D2433"/>
          <w:sz w:val="19"/>
        </w:rPr>
        <w:t>Booking/POS source emits or reconciliation finds a refund linked to original line items.</w:t>
      </w:r>
    </w:p>
    <w:p>
      <w:pPr>
        <w:pStyle w:val="ListNumber"/>
      </w:pPr>
      <w:r>
        <w:rPr>
          <w:rFonts w:ascii="Aptos" w:hAnsi="Aptos"/>
          <w:b w:val="0"/>
          <w:color w:val="1D2433"/>
          <w:sz w:val="19"/>
        </w:rPr>
        <w:t>Rules engine calculates original earned value attributable to refunded items using the original rule version.</w:t>
      </w:r>
    </w:p>
    <w:p>
      <w:pPr>
        <w:pStyle w:val="ListNumber"/>
      </w:pPr>
      <w:r>
        <w:rPr>
          <w:rFonts w:ascii="Aptos" w:hAnsi="Aptos"/>
          <w:b w:val="0"/>
          <w:color w:val="1D2433"/>
          <w:sz w:val="19"/>
        </w:rPr>
        <w:t>Ledger posts compensating debit. If balance is insufficient, policy creates a visible non-monetary negative balance or support case.</w:t>
      </w:r>
    </w:p>
    <w:p>
      <w:pPr>
        <w:pStyle w:val="ListNumber"/>
      </w:pPr>
      <w:r>
        <w:rPr>
          <w:rFonts w:ascii="Aptos" w:hAnsi="Aptos"/>
          <w:b w:val="0"/>
          <w:color w:val="1D2433"/>
          <w:sz w:val="19"/>
        </w:rPr>
        <w:t>Rewards directly caused by the refunded event are revoked if unused; used rewards become a finance/risk case according to value threshold.</w:t>
      </w:r>
    </w:p>
    <w:p>
      <w:pPr>
        <w:pStyle w:val="ListNumber"/>
      </w:pPr>
      <w:r>
        <w:rPr>
          <w:rFonts w:ascii="Aptos" w:hAnsi="Aptos"/>
          <w:b w:val="0"/>
          <w:color w:val="1D2433"/>
          <w:sz w:val="19"/>
        </w:rPr>
        <w:t>Customer receives a fair, plain-language explanation where required.</w:t>
      </w:r>
    </w:p>
    <w:p>
      <w:pPr>
        <w:pStyle w:val="ListNumber"/>
      </w:pPr>
      <w:r>
        <w:rPr>
          <w:rFonts w:ascii="Aptos" w:hAnsi="Aptos"/>
          <w:b w:val="0"/>
          <w:color w:val="1D2433"/>
          <w:sz w:val="19"/>
        </w:rPr>
        <w:t>Finance reconciliation confirms source refund, ledger and any provider settlement.</w:t>
      </w:r>
    </w:p>
    <w:p>
      <w:pPr>
        <w:pStyle w:val="Heading2"/>
        <w:keepNext/>
      </w:pPr>
      <w:r>
        <w:t>20.6 Lost phone/card</w:t>
      </w:r>
    </w:p>
    <w:p>
      <w:pPr>
        <w:pStyle w:val="ListNumber"/>
      </w:pPr>
      <w:r>
        <w:rPr>
          <w:rFonts w:ascii="Aptos" w:hAnsi="Aptos"/>
          <w:b w:val="0"/>
          <w:color w:val="1D2433"/>
          <w:sz w:val="19"/>
        </w:rPr>
        <w:t>Adult authenticates through recovery or receives staff-assisted verified recovery.</w:t>
      </w:r>
    </w:p>
    <w:p>
      <w:pPr>
        <w:pStyle w:val="ListNumber"/>
      </w:pPr>
      <w:r>
        <w:rPr>
          <w:rFonts w:ascii="Aptos" w:hAnsi="Aptos"/>
          <w:b w:val="0"/>
          <w:color w:val="1D2433"/>
          <w:sz w:val="19"/>
        </w:rPr>
        <w:t>System revokes prior sessions and card credential.</w:t>
      </w:r>
    </w:p>
    <w:p>
      <w:pPr>
        <w:pStyle w:val="ListNumber"/>
      </w:pPr>
      <w:r>
        <w:rPr>
          <w:rFonts w:ascii="Aptos" w:hAnsi="Aptos"/>
          <w:b w:val="0"/>
          <w:color w:val="1D2433"/>
          <w:sz w:val="19"/>
        </w:rPr>
        <w:t>New wallet/PWA credential is issued without changing household or value accounts.</w:t>
      </w:r>
    </w:p>
    <w:p>
      <w:pPr>
        <w:pStyle w:val="ListNumber"/>
      </w:pPr>
      <w:r>
        <w:rPr>
          <w:rFonts w:ascii="Aptos" w:hAnsi="Aptos"/>
          <w:b w:val="0"/>
          <w:color w:val="1D2433"/>
          <w:sz w:val="19"/>
        </w:rPr>
        <w:t>Audit and risk engine record the event; suspicious repeated reissues trigger step-up review.</w:t>
      </w:r>
    </w:p>
    <w:p>
      <w:pPr>
        <w:pStyle w:val="Heading1"/>
        <w:keepNext/>
      </w:pPr>
      <w:r>
        <w:t>21. Operational workflows and support</w:t>
      </w:r>
    </w:p>
    <w:p>
      <w:pPr>
        <w:pStyle w:val="Heading2"/>
        <w:keepNext/>
      </w:pPr>
      <w:r>
        <w:t>21.1 Case types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vAlign w:val="center"/>
            <w:shd w:fill="0B2545"/>
            <w:tcMar>
              <w:top w:w="90" w:type="dxa"/>
              <w:start w:w="120" w:type="dxa"/>
              <w:bottom w:w="90" w:type="dxa"/>
              <w:end w:w="120" w:type="dxa"/>
            </w:tcMar>
          </w:tcPr>
          <w:p>
            <w:pPr>
              <w:spacing w:after="0"/>
            </w:pPr>
            <w:r/>
            <w:r>
              <w:rPr>
                <w:rFonts w:ascii="Aptos" w:hAnsi="Aptos"/>
                <w:b/>
                <w:color w:val="FFFFFF"/>
                <w:sz w:val="15"/>
              </w:rPr>
              <w:t>Case</w:t>
            </w:r>
          </w:p>
        </w:tc>
        <w:tc>
          <w:tcPr>
            <w:tcW w:type="dxa" w:w="7460"/>
            <w:shd w:fill="0B2545"/>
            <w:tcMar>
              <w:top w:w="90" w:type="dxa"/>
              <w:start w:w="120" w:type="dxa"/>
              <w:bottom w:w="90" w:type="dxa"/>
              <w:end w:w="120" w:type="dxa"/>
            </w:tcMar>
          </w:tcPr>
          <w:p>
            <w:pPr>
              <w:spacing w:after="0"/>
            </w:pPr>
            <w:r/>
            <w:r>
              <w:rPr>
                <w:rFonts w:ascii="Aptos" w:hAnsi="Aptos"/>
                <w:b/>
                <w:color w:val="FFFFFF"/>
                <w:sz w:val="15"/>
              </w:rPr>
              <w:t>Required evidence and resolution</w:t>
            </w:r>
          </w:p>
        </w:tc>
      </w:tr>
      <w:tr>
        <w:tc>
          <w:tcPr>
            <w:tcW w:type="dxa" w:w="1900"/>
            <w:vAlign w:val="top"/>
            <w:tcMar>
              <w:top w:w="90" w:type="dxa"/>
              <w:start w:w="120" w:type="dxa"/>
              <w:bottom w:w="90" w:type="dxa"/>
              <w:end w:w="120" w:type="dxa"/>
            </w:tcMar>
          </w:tcPr>
          <w:p>
            <w:pPr>
              <w:spacing w:after="0" w:line="250" w:lineRule="auto"/>
            </w:pPr>
            <w:r/>
            <w:r>
              <w:rPr>
                <w:rFonts w:ascii="Aptos" w:hAnsi="Aptos"/>
                <w:b w:val="0"/>
                <w:color w:val="1D2433"/>
                <w:sz w:val="15"/>
              </w:rPr>
              <w:t>Missing visit/points</w:t>
            </w:r>
          </w:p>
        </w:tc>
        <w:tc>
          <w:tcPr>
            <w:tcW w:type="dxa" w:w="7460"/>
            <w:vAlign w:val="top"/>
            <w:tcMar>
              <w:top w:w="90" w:type="dxa"/>
              <w:start w:w="120" w:type="dxa"/>
              <w:bottom w:w="90" w:type="dxa"/>
              <w:end w:w="120" w:type="dxa"/>
            </w:tcMar>
          </w:tcPr>
          <w:p>
            <w:pPr>
              <w:spacing w:after="0" w:line="250" w:lineRule="auto"/>
            </w:pPr>
            <w:r/>
            <w:r>
              <w:rPr>
                <w:rFonts w:ascii="Aptos" w:hAnsi="Aptos"/>
                <w:b w:val="0"/>
                <w:color w:val="1D2433"/>
                <w:sz w:val="15"/>
              </w:rPr>
              <w:t>Source receipt/booking, event lookup, rule explanation, compensating entry if approved.</w:t>
            </w:r>
          </w:p>
        </w:tc>
      </w:tr>
      <w:tr>
        <w:tc>
          <w:tcPr>
            <w:tcW w:type="dxa" w:w="19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Duplicate account</w:t>
            </w:r>
          </w:p>
        </w:tc>
        <w:tc>
          <w:tcPr>
            <w:tcW w:type="dxa" w:w="74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Verified ownership, merge preview, consent ownership, ledger merge map and rollback.</w:t>
            </w:r>
          </w:p>
        </w:tc>
      </w:tr>
      <w:tr>
        <w:tc>
          <w:tcPr>
            <w:tcW w:type="dxa" w:w="1900"/>
            <w:vAlign w:val="top"/>
            <w:tcMar>
              <w:top w:w="90" w:type="dxa"/>
              <w:start w:w="120" w:type="dxa"/>
              <w:bottom w:w="90" w:type="dxa"/>
              <w:end w:w="120" w:type="dxa"/>
            </w:tcMar>
          </w:tcPr>
          <w:p>
            <w:pPr>
              <w:spacing w:after="0" w:line="250" w:lineRule="auto"/>
            </w:pPr>
            <w:r/>
            <w:r>
              <w:rPr>
                <w:rFonts w:ascii="Aptos" w:hAnsi="Aptos"/>
                <w:b w:val="0"/>
                <w:color w:val="1D2433"/>
                <w:sz w:val="15"/>
              </w:rPr>
              <w:t>Wrong household link</w:t>
            </w:r>
          </w:p>
        </w:tc>
        <w:tc>
          <w:tcPr>
            <w:tcW w:type="dxa" w:w="7460"/>
            <w:vAlign w:val="top"/>
            <w:tcMar>
              <w:top w:w="90" w:type="dxa"/>
              <w:start w:w="120" w:type="dxa"/>
              <w:bottom w:w="90" w:type="dxa"/>
              <w:end w:w="120" w:type="dxa"/>
            </w:tcMar>
          </w:tcPr>
          <w:p>
            <w:pPr>
              <w:spacing w:after="0" w:line="250" w:lineRule="auto"/>
            </w:pPr>
            <w:r/>
            <w:r>
              <w:rPr>
                <w:rFonts w:ascii="Aptos" w:hAnsi="Aptos"/>
                <w:b w:val="0"/>
                <w:color w:val="1D2433"/>
                <w:sz w:val="15"/>
              </w:rPr>
              <w:t>Privacy-safe separation, affected events, guardian/owner verification and audit.</w:t>
            </w:r>
          </w:p>
        </w:tc>
      </w:tr>
      <w:tr>
        <w:tc>
          <w:tcPr>
            <w:tcW w:type="dxa" w:w="19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Redemption dispute</w:t>
            </w:r>
          </w:p>
        </w:tc>
        <w:tc>
          <w:tcPr>
            <w:tcW w:type="dxa" w:w="74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Credential, device, staff, park, timestamp, reward state and signed receipt.</w:t>
            </w:r>
          </w:p>
        </w:tc>
      </w:tr>
      <w:tr>
        <w:tc>
          <w:tcPr>
            <w:tcW w:type="dxa" w:w="1900"/>
            <w:vAlign w:val="top"/>
            <w:tcMar>
              <w:top w:w="90" w:type="dxa"/>
              <w:start w:w="120" w:type="dxa"/>
              <w:bottom w:w="90" w:type="dxa"/>
              <w:end w:w="120" w:type="dxa"/>
            </w:tcMar>
          </w:tcPr>
          <w:p>
            <w:pPr>
              <w:spacing w:after="0" w:line="250" w:lineRule="auto"/>
            </w:pPr>
            <w:r/>
            <w:r>
              <w:rPr>
                <w:rFonts w:ascii="Aptos" w:hAnsi="Aptos"/>
                <w:b w:val="0"/>
                <w:color w:val="1D2433"/>
                <w:sz w:val="15"/>
              </w:rPr>
              <w:t>Voucher/gift issue</w:t>
            </w:r>
          </w:p>
        </w:tc>
        <w:tc>
          <w:tcPr>
            <w:tcW w:type="dxa" w:w="7460"/>
            <w:vAlign w:val="top"/>
            <w:tcMar>
              <w:top w:w="90" w:type="dxa"/>
              <w:start w:w="120" w:type="dxa"/>
              <w:bottom w:w="90" w:type="dxa"/>
              <w:end w:w="120" w:type="dxa"/>
            </w:tcMar>
          </w:tcPr>
          <w:p>
            <w:pPr>
              <w:spacing w:after="0" w:line="250" w:lineRule="auto"/>
            </w:pPr>
            <w:r/>
            <w:r>
              <w:rPr>
                <w:rFonts w:ascii="Aptos" w:hAnsi="Aptos"/>
                <w:b w:val="0"/>
                <w:color w:val="1D2433"/>
                <w:sz w:val="15"/>
              </w:rPr>
              <w:t>Payment/settlement, instrument state, delivery/claim and fraud indicators.</w:t>
            </w:r>
          </w:p>
        </w:tc>
      </w:tr>
      <w:tr>
        <w:tc>
          <w:tcPr>
            <w:tcW w:type="dxa" w:w="19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Campaign complaint</w:t>
            </w:r>
          </w:p>
        </w:tc>
        <w:tc>
          <w:tcPr>
            <w:tcW w:type="dxa" w:w="74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Consent proof, segment snapshot, template/version, provider events and suppression.</w:t>
            </w:r>
          </w:p>
        </w:tc>
      </w:tr>
      <w:tr>
        <w:tc>
          <w:tcPr>
            <w:tcW w:type="dxa" w:w="1900"/>
            <w:vAlign w:val="top"/>
            <w:tcMar>
              <w:top w:w="90" w:type="dxa"/>
              <w:start w:w="120" w:type="dxa"/>
              <w:bottom w:w="90" w:type="dxa"/>
              <w:end w:w="120" w:type="dxa"/>
            </w:tcMar>
          </w:tcPr>
          <w:p>
            <w:pPr>
              <w:spacing w:after="0" w:line="250" w:lineRule="auto"/>
            </w:pPr>
            <w:r/>
            <w:r>
              <w:rPr>
                <w:rFonts w:ascii="Aptos" w:hAnsi="Aptos"/>
                <w:b w:val="0"/>
                <w:color w:val="1D2433"/>
                <w:sz w:val="15"/>
              </w:rPr>
              <w:t>Privacy request</w:t>
            </w:r>
          </w:p>
        </w:tc>
        <w:tc>
          <w:tcPr>
            <w:tcW w:type="dxa" w:w="7460"/>
            <w:vAlign w:val="top"/>
            <w:tcMar>
              <w:top w:w="90" w:type="dxa"/>
              <w:start w:w="120" w:type="dxa"/>
              <w:bottom w:w="90" w:type="dxa"/>
              <w:end w:w="120" w:type="dxa"/>
            </w:tcMar>
          </w:tcPr>
          <w:p>
            <w:pPr>
              <w:spacing w:after="0" w:line="250" w:lineRule="auto"/>
            </w:pPr>
            <w:r/>
            <w:r>
              <w:rPr>
                <w:rFonts w:ascii="Aptos" w:hAnsi="Aptos"/>
                <w:b w:val="0"/>
                <w:color w:val="1D2433"/>
                <w:sz w:val="15"/>
              </w:rPr>
              <w:t>Identity verification, scope, systems/processors, decisions and completion proof.</w:t>
            </w:r>
          </w:p>
        </w:tc>
      </w:tr>
      <w:tr>
        <w:tc>
          <w:tcPr>
            <w:tcW w:type="dxa" w:w="19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Integration/reconciliation</w:t>
            </w:r>
          </w:p>
        </w:tc>
        <w:tc>
          <w:tcPr>
            <w:tcW w:type="dxa" w:w="74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Source/control totals, missing/duplicate records, replay and closure variance.</w:t>
            </w:r>
          </w:p>
        </w:tc>
      </w:tr>
    </w:tbl>
    <w:p>
      <w:pPr>
        <w:spacing w:after="20"/>
      </w:pPr>
    </w:p>
    <w:p>
      <w:pPr>
        <w:pStyle w:val="Heading2"/>
        <w:keepNext/>
      </w:pPr>
      <w:r>
        <w:t>21.2 Service-level objectives for cases</w:t>
      </w:r>
    </w:p>
    <w:tbl>
      <w:tblPr>
        <w:tblStyle w:val="TableGrid"/>
        <w:tblW w:type="dxa" w:w="9360"/>
        <w:jc w:val="left"/>
        <w:tblLayout w:type="fixed"/>
        <w:tblLook w:firstColumn="1" w:firstRow="1" w:lastColumn="0" w:lastRow="0" w:noHBand="0" w:noVBand="1" w:val="04A0"/>
        <w:tblInd w:w="120" w:type="dxa"/>
      </w:tblPr>
      <w:tblGrid>
        <w:gridCol w:w="1200"/>
        <w:gridCol w:w="5260"/>
        <w:gridCol w:w="2900"/>
      </w:tblGrid>
      <w:tr>
        <w:trPr>
          <w:tblHeader w:val="true"/>
        </w:trPr>
        <w:tc>
          <w:tcPr>
            <w:tcW w:type="dxa" w:w="1200"/>
            <w:vAlign w:val="center"/>
            <w:shd w:fill="0B2545"/>
            <w:tcMar>
              <w:top w:w="90" w:type="dxa"/>
              <w:start w:w="120" w:type="dxa"/>
              <w:bottom w:w="90" w:type="dxa"/>
              <w:end w:w="120" w:type="dxa"/>
            </w:tcMar>
          </w:tcPr>
          <w:p>
            <w:pPr>
              <w:spacing w:after="0"/>
            </w:pPr>
            <w:r/>
            <w:r>
              <w:rPr>
                <w:rFonts w:ascii="Aptos" w:hAnsi="Aptos"/>
                <w:b/>
                <w:color w:val="FFFFFF"/>
                <w:sz w:val="15"/>
              </w:rPr>
              <w:t>Priority</w:t>
            </w:r>
          </w:p>
        </w:tc>
        <w:tc>
          <w:tcPr>
            <w:tcW w:type="dxa" w:w="5260"/>
            <w:shd w:fill="0B2545"/>
            <w:tcMar>
              <w:top w:w="90" w:type="dxa"/>
              <w:start w:w="120" w:type="dxa"/>
              <w:bottom w:w="90" w:type="dxa"/>
              <w:end w:w="120" w:type="dxa"/>
            </w:tcMar>
          </w:tcPr>
          <w:p>
            <w:pPr>
              <w:spacing w:after="0"/>
            </w:pPr>
            <w:r/>
            <w:r>
              <w:rPr>
                <w:rFonts w:ascii="Aptos" w:hAnsi="Aptos"/>
                <w:b/>
                <w:color w:val="FFFFFF"/>
                <w:sz w:val="15"/>
              </w:rPr>
              <w:t>Example</w:t>
            </w:r>
          </w:p>
        </w:tc>
        <w:tc>
          <w:tcPr>
            <w:tcW w:type="dxa" w:w="2900"/>
            <w:shd w:fill="0B2545"/>
            <w:tcMar>
              <w:top w:w="90" w:type="dxa"/>
              <w:start w:w="120" w:type="dxa"/>
              <w:bottom w:w="90" w:type="dxa"/>
              <w:end w:w="120" w:type="dxa"/>
            </w:tcMar>
          </w:tcPr>
          <w:p>
            <w:pPr>
              <w:spacing w:after="0"/>
            </w:pPr>
            <w:r/>
            <w:r>
              <w:rPr>
                <w:rFonts w:ascii="Aptos" w:hAnsi="Aptos"/>
                <w:b/>
                <w:color w:val="FFFFFF"/>
                <w:sz w:val="15"/>
              </w:rPr>
              <w:t>Target</w:t>
            </w:r>
          </w:p>
        </w:tc>
      </w:tr>
      <w:tr>
        <w:tc>
          <w:tcPr>
            <w:tcW w:type="dxa" w:w="1200"/>
            <w:vAlign w:val="top"/>
            <w:tcMar>
              <w:top w:w="90" w:type="dxa"/>
              <w:start w:w="120" w:type="dxa"/>
              <w:bottom w:w="90" w:type="dxa"/>
              <w:end w:w="120" w:type="dxa"/>
            </w:tcMar>
          </w:tcPr>
          <w:p>
            <w:pPr>
              <w:spacing w:after="0" w:line="250" w:lineRule="auto"/>
            </w:pPr>
            <w:r/>
            <w:r>
              <w:rPr>
                <w:rFonts w:ascii="Aptos" w:hAnsi="Aptos"/>
                <w:b w:val="0"/>
                <w:color w:val="1D2433"/>
                <w:sz w:val="15"/>
              </w:rPr>
              <w:t>P0</w:t>
            </w:r>
          </w:p>
        </w:tc>
        <w:tc>
          <w:tcPr>
            <w:tcW w:type="dxa" w:w="5260"/>
            <w:vAlign w:val="top"/>
            <w:tcMar>
              <w:top w:w="90" w:type="dxa"/>
              <w:start w:w="120" w:type="dxa"/>
              <w:bottom w:w="90" w:type="dxa"/>
              <w:end w:w="120" w:type="dxa"/>
            </w:tcMar>
          </w:tcPr>
          <w:p>
            <w:pPr>
              <w:spacing w:after="0" w:line="250" w:lineRule="auto"/>
            </w:pPr>
            <w:r/>
            <w:r>
              <w:rPr>
                <w:rFonts w:ascii="Aptos" w:hAnsi="Aptos"/>
                <w:b w:val="0"/>
                <w:color w:val="1D2433"/>
                <w:sz w:val="15"/>
              </w:rPr>
              <w:t>Active double-spend, systemic value corruption, privacy/security incident.</w:t>
            </w:r>
          </w:p>
        </w:tc>
        <w:tc>
          <w:tcPr>
            <w:tcW w:type="dxa" w:w="2900"/>
            <w:vAlign w:val="top"/>
            <w:tcMar>
              <w:top w:w="90" w:type="dxa"/>
              <w:start w:w="120" w:type="dxa"/>
              <w:bottom w:w="90" w:type="dxa"/>
              <w:end w:w="120" w:type="dxa"/>
            </w:tcMar>
          </w:tcPr>
          <w:p>
            <w:pPr>
              <w:spacing w:after="0" w:line="250" w:lineRule="auto"/>
            </w:pPr>
            <w:r/>
            <w:r>
              <w:rPr>
                <w:rFonts w:ascii="Aptos" w:hAnsi="Aptos"/>
                <w:b w:val="0"/>
                <w:color w:val="1D2433"/>
                <w:sz w:val="15"/>
              </w:rPr>
              <w:t>Immediate paging; containment target 15 minutes.</w:t>
            </w:r>
          </w:p>
        </w:tc>
      </w:tr>
      <w:tr>
        <w:tc>
          <w:tcPr>
            <w:tcW w:type="dxa" w:w="12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P1</w:t>
            </w:r>
          </w:p>
        </w:tc>
        <w:tc>
          <w:tcPr>
            <w:tcW w:type="dxa" w:w="52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Park cannot validate/redemptions broadly; payment/value reconciliation materially failing.</w:t>
            </w:r>
          </w:p>
        </w:tc>
        <w:tc>
          <w:tcPr>
            <w:tcW w:type="dxa" w:w="29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Acknowledge 15 minutes; restore/mitigate 60 minutes.</w:t>
            </w:r>
          </w:p>
        </w:tc>
      </w:tr>
      <w:tr>
        <w:tc>
          <w:tcPr>
            <w:tcW w:type="dxa" w:w="1200"/>
            <w:vAlign w:val="top"/>
            <w:tcMar>
              <w:top w:w="90" w:type="dxa"/>
              <w:start w:w="120" w:type="dxa"/>
              <w:bottom w:w="90" w:type="dxa"/>
              <w:end w:w="120" w:type="dxa"/>
            </w:tcMar>
          </w:tcPr>
          <w:p>
            <w:pPr>
              <w:spacing w:after="0" w:line="250" w:lineRule="auto"/>
            </w:pPr>
            <w:r/>
            <w:r>
              <w:rPr>
                <w:rFonts w:ascii="Aptos" w:hAnsi="Aptos"/>
                <w:b w:val="0"/>
                <w:color w:val="1D2433"/>
                <w:sz w:val="15"/>
              </w:rPr>
              <w:t>P2</w:t>
            </w:r>
          </w:p>
        </w:tc>
        <w:tc>
          <w:tcPr>
            <w:tcW w:type="dxa" w:w="5260"/>
            <w:vAlign w:val="top"/>
            <w:tcMar>
              <w:top w:w="90" w:type="dxa"/>
              <w:start w:w="120" w:type="dxa"/>
              <w:bottom w:w="90" w:type="dxa"/>
              <w:end w:w="120" w:type="dxa"/>
            </w:tcMar>
          </w:tcPr>
          <w:p>
            <w:pPr>
              <w:spacing w:after="0" w:line="250" w:lineRule="auto"/>
            </w:pPr>
            <w:r/>
            <w:r>
              <w:rPr>
                <w:rFonts w:ascii="Aptos" w:hAnsi="Aptos"/>
                <w:b w:val="0"/>
                <w:color w:val="1D2433"/>
                <w:sz w:val="15"/>
              </w:rPr>
              <w:t>Individual value dispute, merge problem, campaign complaint.</w:t>
            </w:r>
          </w:p>
        </w:tc>
        <w:tc>
          <w:tcPr>
            <w:tcW w:type="dxa" w:w="2900"/>
            <w:vAlign w:val="top"/>
            <w:tcMar>
              <w:top w:w="90" w:type="dxa"/>
              <w:start w:w="120" w:type="dxa"/>
              <w:bottom w:w="90" w:type="dxa"/>
              <w:end w:w="120" w:type="dxa"/>
            </w:tcMar>
          </w:tcPr>
          <w:p>
            <w:pPr>
              <w:spacing w:after="0" w:line="250" w:lineRule="auto"/>
            </w:pPr>
            <w:r/>
            <w:r>
              <w:rPr>
                <w:rFonts w:ascii="Aptos" w:hAnsi="Aptos"/>
                <w:b w:val="0"/>
                <w:color w:val="1D2433"/>
                <w:sz w:val="15"/>
              </w:rPr>
              <w:t>Acknowledge within one business day; resolve according to documented case policy.</w:t>
            </w:r>
          </w:p>
        </w:tc>
      </w:tr>
      <w:tr>
        <w:tc>
          <w:tcPr>
            <w:tcW w:type="dxa" w:w="12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P3</w:t>
            </w:r>
          </w:p>
        </w:tc>
        <w:tc>
          <w:tcPr>
            <w:tcW w:type="dxa" w:w="52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General enquiry or non-blocking correction.</w:t>
            </w:r>
          </w:p>
        </w:tc>
        <w:tc>
          <w:tcPr>
            <w:tcW w:type="dxa" w:w="29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Acknowledge within two business days.</w:t>
            </w:r>
          </w:p>
        </w:tc>
      </w:tr>
    </w:tbl>
    <w:p>
      <w:pPr>
        <w:spacing w:after="20"/>
      </w:pPr>
    </w:p>
    <w:p>
      <w:pPr>
        <w:pStyle w:val="Heading1"/>
        <w:keepNext/>
      </w:pPr>
      <w:r>
        <w:t>22. Testing and quality strategy</w:t>
      </w:r>
    </w:p>
    <w:p>
      <w:pPr>
        <w:pStyle w:val="Heading2"/>
        <w:keepNext/>
      </w:pPr>
      <w:r>
        <w:t>22.1 Mandatory automated test layers</w:t>
      </w:r>
    </w:p>
    <w:p>
      <w:pPr>
        <w:pStyle w:val="ListBullet"/>
      </w:pPr>
      <w:r>
        <w:rPr>
          <w:rFonts w:ascii="Aptos" w:hAnsi="Aptos"/>
          <w:b w:val="0"/>
          <w:color w:val="1D2433"/>
          <w:sz w:val="19"/>
        </w:rPr>
        <w:t>Unit tests for value calculations, state machines, policy checks and edge cases.</w:t>
      </w:r>
    </w:p>
    <w:p>
      <w:pPr>
        <w:pStyle w:val="ListBullet"/>
      </w:pPr>
      <w:r>
        <w:rPr>
          <w:rFonts w:ascii="Aptos" w:hAnsi="Aptos"/>
          <w:b w:val="0"/>
          <w:color w:val="1D2433"/>
          <w:sz w:val="19"/>
        </w:rPr>
        <w:t>Property-based tests for ledger conservation, idempotency, rounding, expiry and caps.</w:t>
      </w:r>
    </w:p>
    <w:p>
      <w:pPr>
        <w:pStyle w:val="ListBullet"/>
      </w:pPr>
      <w:r>
        <w:rPr>
          <w:rFonts w:ascii="Aptos" w:hAnsi="Aptos"/>
          <w:b w:val="0"/>
          <w:color w:val="1D2433"/>
          <w:sz w:val="19"/>
        </w:rPr>
        <w:t>Contract tests for every internal API, event schema and external adapter.</w:t>
      </w:r>
    </w:p>
    <w:p>
      <w:pPr>
        <w:pStyle w:val="ListBullet"/>
      </w:pPr>
      <w:r>
        <w:rPr>
          <w:rFonts w:ascii="Aptos" w:hAnsi="Aptos"/>
          <w:b w:val="0"/>
          <w:color w:val="1D2433"/>
          <w:sz w:val="19"/>
        </w:rPr>
        <w:t>Integration tests using real databases/queues/caches in isolated environments.</w:t>
      </w:r>
    </w:p>
    <w:p>
      <w:pPr>
        <w:pStyle w:val="ListBullet"/>
      </w:pPr>
      <w:r>
        <w:rPr>
          <w:rFonts w:ascii="Aptos" w:hAnsi="Aptos"/>
          <w:b w:val="0"/>
          <w:color w:val="1D2433"/>
          <w:sz w:val="19"/>
        </w:rPr>
        <w:t>End-to-end browser tests for customer, scanner and admin critical journeys.</w:t>
      </w:r>
    </w:p>
    <w:p>
      <w:pPr>
        <w:pStyle w:val="ListBullet"/>
      </w:pPr>
      <w:r>
        <w:rPr>
          <w:rFonts w:ascii="Aptos" w:hAnsi="Aptos"/>
          <w:b w:val="0"/>
          <w:color w:val="1D2433"/>
          <w:sz w:val="19"/>
        </w:rPr>
        <w:t>Security tests for authentication, authorisation, token replay, injection, CSRF, enumeration and rate limits.</w:t>
      </w:r>
    </w:p>
    <w:p>
      <w:pPr>
        <w:pStyle w:val="ListBullet"/>
      </w:pPr>
      <w:r>
        <w:rPr>
          <w:rFonts w:ascii="Aptos" w:hAnsi="Aptos"/>
          <w:b w:val="0"/>
          <w:color w:val="1D2433"/>
          <w:sz w:val="19"/>
        </w:rPr>
        <w:t>Privacy tests for consent withdrawal, minimised views, export, restriction and deletion.</w:t>
      </w:r>
    </w:p>
    <w:p>
      <w:pPr>
        <w:pStyle w:val="ListBullet"/>
      </w:pPr>
      <w:r>
        <w:rPr>
          <w:rFonts w:ascii="Aptos" w:hAnsi="Aptos"/>
          <w:b w:val="0"/>
          <w:color w:val="1D2433"/>
          <w:sz w:val="19"/>
        </w:rPr>
        <w:t>Accessibility tests plus manual screen-reader/keyboard review.</w:t>
      </w:r>
    </w:p>
    <w:p>
      <w:pPr>
        <w:pStyle w:val="ListBullet"/>
      </w:pPr>
      <w:r>
        <w:rPr>
          <w:rFonts w:ascii="Aptos" w:hAnsi="Aptos"/>
          <w:b w:val="0"/>
          <w:color w:val="1D2433"/>
          <w:sz w:val="19"/>
        </w:rPr>
        <w:t>Load, soak, burst and concurrency tests at or above stated scale.</w:t>
      </w:r>
    </w:p>
    <w:p>
      <w:pPr>
        <w:pStyle w:val="ListBullet"/>
      </w:pPr>
      <w:r>
        <w:rPr>
          <w:rFonts w:ascii="Aptos" w:hAnsi="Aptos"/>
          <w:b w:val="0"/>
          <w:color w:val="1D2433"/>
          <w:sz w:val="19"/>
        </w:rPr>
        <w:t>Failure injection for provider outage, delayed webhook, duplicate event, queue backlog, database failover and clock skew.</w:t>
      </w:r>
    </w:p>
    <w:p>
      <w:pPr>
        <w:pStyle w:val="ListBullet"/>
      </w:pPr>
      <w:r>
        <w:rPr>
          <w:rFonts w:ascii="Aptos" w:hAnsi="Aptos"/>
          <w:b w:val="0"/>
          <w:color w:val="1D2433"/>
          <w:sz w:val="19"/>
        </w:rPr>
        <w:t>Backup restore and disaster-recovery exercises.</w:t>
      </w:r>
    </w:p>
    <w:p>
      <w:pPr>
        <w:pStyle w:val="ListBullet"/>
      </w:pPr>
      <w:r>
        <w:rPr>
          <w:rFonts w:ascii="Aptos" w:hAnsi="Aptos"/>
          <w:b w:val="0"/>
          <w:color w:val="1D2433"/>
          <w:sz w:val="19"/>
        </w:rPr>
        <w:t>Migration reconciliation tests on anonymised/representative source data.</w:t>
      </w:r>
    </w:p>
    <w:p>
      <w:pPr>
        <w:pStyle w:val="Heading2"/>
        <w:keepNext/>
      </w:pPr>
      <w:r>
        <w:t>22.2 Golden business scenarios</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vAlign w:val="center"/>
            <w:shd w:fill="0B2545"/>
            <w:tcMar>
              <w:top w:w="90" w:type="dxa"/>
              <w:start w:w="120" w:type="dxa"/>
              <w:bottom w:w="90" w:type="dxa"/>
              <w:end w:w="120" w:type="dxa"/>
            </w:tcMar>
          </w:tcPr>
          <w:p>
            <w:pPr>
              <w:spacing w:after="0"/>
            </w:pPr>
            <w:r/>
            <w:r>
              <w:rPr>
                <w:rFonts w:ascii="Aptos" w:hAnsi="Aptos"/>
                <w:b/>
                <w:color w:val="FFFFFF"/>
                <w:sz w:val="15"/>
              </w:rPr>
              <w:t>Scenario</w:t>
            </w:r>
          </w:p>
        </w:tc>
        <w:tc>
          <w:tcPr>
            <w:tcW w:type="dxa" w:w="6860"/>
            <w:shd w:fill="0B2545"/>
            <w:tcMar>
              <w:top w:w="90" w:type="dxa"/>
              <w:start w:w="120" w:type="dxa"/>
              <w:bottom w:w="90" w:type="dxa"/>
              <w:end w:w="120" w:type="dxa"/>
            </w:tcMar>
          </w:tcPr>
          <w:p>
            <w:pPr>
              <w:spacing w:after="0"/>
            </w:pPr>
            <w:r/>
            <w:r>
              <w:rPr>
                <w:rFonts w:ascii="Aptos" w:hAnsi="Aptos"/>
                <w:b/>
                <w:color w:val="FFFFFF"/>
                <w:sz w:val="15"/>
              </w:rPr>
              <w:t>Must prove</w:t>
            </w:r>
          </w:p>
        </w:tc>
      </w:tr>
      <w:tr>
        <w:tc>
          <w:tcPr>
            <w:tcW w:type="dxa" w:w="2500"/>
            <w:vAlign w:val="top"/>
            <w:tcMar>
              <w:top w:w="90" w:type="dxa"/>
              <w:start w:w="120" w:type="dxa"/>
              <w:bottom w:w="90" w:type="dxa"/>
              <w:end w:w="120" w:type="dxa"/>
            </w:tcMar>
          </w:tcPr>
          <w:p>
            <w:pPr>
              <w:spacing w:after="0" w:line="250" w:lineRule="auto"/>
            </w:pPr>
            <w:r/>
            <w:r>
              <w:rPr>
                <w:rFonts w:ascii="Aptos" w:hAnsi="Aptos"/>
                <w:b w:val="0"/>
                <w:color w:val="1D2433"/>
                <w:sz w:val="15"/>
              </w:rPr>
              <w:t>Concurrent earn</w:t>
            </w:r>
          </w:p>
        </w:tc>
        <w:tc>
          <w:tcPr>
            <w:tcW w:type="dxa" w:w="6860"/>
            <w:vAlign w:val="top"/>
            <w:tcMar>
              <w:top w:w="90" w:type="dxa"/>
              <w:start w:w="120" w:type="dxa"/>
              <w:bottom w:w="90" w:type="dxa"/>
              <w:end w:w="120" w:type="dxa"/>
            </w:tcMar>
          </w:tcPr>
          <w:p>
            <w:pPr>
              <w:spacing w:after="0" w:line="250" w:lineRule="auto"/>
            </w:pPr>
            <w:r/>
            <w:r>
              <w:rPr>
                <w:rFonts w:ascii="Aptos" w:hAnsi="Aptos"/>
                <w:b w:val="0"/>
                <w:color w:val="1D2433"/>
                <w:sz w:val="15"/>
              </w:rPr>
              <w:t>One qualifying source event creates exactly one earning result.</w:t>
            </w:r>
          </w:p>
        </w:tc>
      </w:tr>
      <w:tr>
        <w:tc>
          <w:tcPr>
            <w:tcW w:type="dxa" w:w="25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Concurrent redemption</w:t>
            </w:r>
          </w:p>
        </w:tc>
        <w:tc>
          <w:tcPr>
            <w:tcW w:type="dxa" w:w="68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Two scanners produce one success and one safe already-used response.</w:t>
            </w:r>
          </w:p>
        </w:tc>
      </w:tr>
      <w:tr>
        <w:tc>
          <w:tcPr>
            <w:tcW w:type="dxa" w:w="2500"/>
            <w:vAlign w:val="top"/>
            <w:tcMar>
              <w:top w:w="90" w:type="dxa"/>
              <w:start w:w="120" w:type="dxa"/>
              <w:bottom w:w="90" w:type="dxa"/>
              <w:end w:w="120" w:type="dxa"/>
            </w:tcMar>
          </w:tcPr>
          <w:p>
            <w:pPr>
              <w:spacing w:after="0" w:line="250" w:lineRule="auto"/>
            </w:pPr>
            <w:r/>
            <w:r>
              <w:rPr>
                <w:rFonts w:ascii="Aptos" w:hAnsi="Aptos"/>
                <w:b w:val="0"/>
                <w:color w:val="1D2433"/>
                <w:sz w:val="15"/>
              </w:rPr>
              <w:t>Partial refund</w:t>
            </w:r>
          </w:p>
        </w:tc>
        <w:tc>
          <w:tcPr>
            <w:tcW w:type="dxa" w:w="6860"/>
            <w:vAlign w:val="top"/>
            <w:tcMar>
              <w:top w:w="90" w:type="dxa"/>
              <w:start w:w="120" w:type="dxa"/>
              <w:bottom w:w="90" w:type="dxa"/>
              <w:end w:w="120" w:type="dxa"/>
            </w:tcMar>
          </w:tcPr>
          <w:p>
            <w:pPr>
              <w:spacing w:after="0" w:line="250" w:lineRule="auto"/>
            </w:pPr>
            <w:r/>
            <w:r>
              <w:rPr>
                <w:rFonts w:ascii="Aptos" w:hAnsi="Aptos"/>
                <w:b w:val="0"/>
                <w:color w:val="1D2433"/>
                <w:sz w:val="15"/>
              </w:rPr>
              <w:t>Only value attributable to refunded lines is reversed using original rules.</w:t>
            </w:r>
          </w:p>
        </w:tc>
      </w:tr>
      <w:tr>
        <w:tc>
          <w:tcPr>
            <w:tcW w:type="dxa" w:w="25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Rule version boundary</w:t>
            </w:r>
          </w:p>
        </w:tc>
        <w:tc>
          <w:tcPr>
            <w:tcW w:type="dxa" w:w="68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Events immediately before/after effective time use correct versions.</w:t>
            </w:r>
          </w:p>
        </w:tc>
      </w:tr>
      <w:tr>
        <w:tc>
          <w:tcPr>
            <w:tcW w:type="dxa" w:w="2500"/>
            <w:vAlign w:val="top"/>
            <w:tcMar>
              <w:top w:w="90" w:type="dxa"/>
              <w:start w:w="120" w:type="dxa"/>
              <w:bottom w:w="90" w:type="dxa"/>
              <w:end w:w="120" w:type="dxa"/>
            </w:tcMar>
          </w:tcPr>
          <w:p>
            <w:pPr>
              <w:spacing w:after="0" w:line="250" w:lineRule="auto"/>
            </w:pPr>
            <w:r/>
            <w:r>
              <w:rPr>
                <w:rFonts w:ascii="Aptos" w:hAnsi="Aptos"/>
                <w:b w:val="0"/>
                <w:color w:val="1D2433"/>
                <w:sz w:val="15"/>
              </w:rPr>
              <w:t>Household merge</w:t>
            </w:r>
          </w:p>
        </w:tc>
        <w:tc>
          <w:tcPr>
            <w:tcW w:type="dxa" w:w="6860"/>
            <w:vAlign w:val="top"/>
            <w:tcMar>
              <w:top w:w="90" w:type="dxa"/>
              <w:start w:w="120" w:type="dxa"/>
              <w:bottom w:w="90" w:type="dxa"/>
              <w:end w:w="120" w:type="dxa"/>
            </w:tcMar>
          </w:tcPr>
          <w:p>
            <w:pPr>
              <w:spacing w:after="0" w:line="250" w:lineRule="auto"/>
            </w:pPr>
            <w:r/>
            <w:r>
              <w:rPr>
                <w:rFonts w:ascii="Aptos" w:hAnsi="Aptos"/>
                <w:b w:val="0"/>
                <w:color w:val="1D2433"/>
                <w:sz w:val="15"/>
              </w:rPr>
              <w:t>Balances, history and consent ownership are preserved without duplicate value.</w:t>
            </w:r>
          </w:p>
        </w:tc>
      </w:tr>
      <w:tr>
        <w:tc>
          <w:tcPr>
            <w:tcW w:type="dxa" w:w="25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Consent withdrawal with queued message</w:t>
            </w:r>
          </w:p>
        </w:tc>
        <w:tc>
          <w:tcPr>
            <w:tcW w:type="dxa" w:w="68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Queued marketing is suppressed before provider send.</w:t>
            </w:r>
          </w:p>
        </w:tc>
      </w:tr>
      <w:tr>
        <w:tc>
          <w:tcPr>
            <w:tcW w:type="dxa" w:w="2500"/>
            <w:vAlign w:val="top"/>
            <w:tcMar>
              <w:top w:w="90" w:type="dxa"/>
              <w:start w:w="120" w:type="dxa"/>
              <w:bottom w:w="90" w:type="dxa"/>
              <w:end w:w="120" w:type="dxa"/>
            </w:tcMar>
          </w:tcPr>
          <w:p>
            <w:pPr>
              <w:spacing w:after="0" w:line="250" w:lineRule="auto"/>
            </w:pPr>
            <w:r/>
            <w:r>
              <w:rPr>
                <w:rFonts w:ascii="Aptos" w:hAnsi="Aptos"/>
                <w:b w:val="0"/>
                <w:color w:val="1D2433"/>
                <w:sz w:val="15"/>
              </w:rPr>
              <w:t>Provider webhook replay</w:t>
            </w:r>
          </w:p>
        </w:tc>
        <w:tc>
          <w:tcPr>
            <w:tcW w:type="dxa" w:w="6860"/>
            <w:vAlign w:val="top"/>
            <w:tcMar>
              <w:top w:w="90" w:type="dxa"/>
              <w:start w:w="120" w:type="dxa"/>
              <w:bottom w:w="90" w:type="dxa"/>
              <w:end w:w="120" w:type="dxa"/>
            </w:tcMar>
          </w:tcPr>
          <w:p>
            <w:pPr>
              <w:spacing w:after="0" w:line="250" w:lineRule="auto"/>
            </w:pPr>
            <w:r/>
            <w:r>
              <w:rPr>
                <w:rFonts w:ascii="Aptos" w:hAnsi="Aptos"/>
                <w:b w:val="0"/>
                <w:color w:val="1D2433"/>
                <w:sz w:val="15"/>
              </w:rPr>
              <w:t>Repeated and out-of-order events reach same correct final state.</w:t>
            </w:r>
          </w:p>
        </w:tc>
      </w:tr>
      <w:tr>
        <w:tc>
          <w:tcPr>
            <w:tcW w:type="dxa" w:w="25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Offline redemption conflict</w:t>
            </w:r>
          </w:p>
        </w:tc>
        <w:tc>
          <w:tcPr>
            <w:tcW w:type="dxa" w:w="68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Conflict is visible, contained and reconciled; no silent loss.</w:t>
            </w:r>
          </w:p>
        </w:tc>
      </w:tr>
      <w:tr>
        <w:tc>
          <w:tcPr>
            <w:tcW w:type="dxa" w:w="2500"/>
            <w:vAlign w:val="top"/>
            <w:tcMar>
              <w:top w:w="90" w:type="dxa"/>
              <w:start w:w="120" w:type="dxa"/>
              <w:bottom w:w="90" w:type="dxa"/>
              <w:end w:w="120" w:type="dxa"/>
            </w:tcMar>
          </w:tcPr>
          <w:p>
            <w:pPr>
              <w:spacing w:after="0" w:line="250" w:lineRule="auto"/>
            </w:pPr>
            <w:r/>
            <w:r>
              <w:rPr>
                <w:rFonts w:ascii="Aptos" w:hAnsi="Aptos"/>
                <w:b w:val="0"/>
                <w:color w:val="1D2433"/>
                <w:sz w:val="15"/>
              </w:rPr>
              <w:t>Lost phone</w:t>
            </w:r>
          </w:p>
        </w:tc>
        <w:tc>
          <w:tcPr>
            <w:tcW w:type="dxa" w:w="6860"/>
            <w:vAlign w:val="top"/>
            <w:tcMar>
              <w:top w:w="90" w:type="dxa"/>
              <w:start w:w="120" w:type="dxa"/>
              <w:bottom w:w="90" w:type="dxa"/>
              <w:end w:w="120" w:type="dxa"/>
            </w:tcMar>
          </w:tcPr>
          <w:p>
            <w:pPr>
              <w:spacing w:after="0" w:line="250" w:lineRule="auto"/>
            </w:pPr>
            <w:r/>
            <w:r>
              <w:rPr>
                <w:rFonts w:ascii="Aptos" w:hAnsi="Aptos"/>
                <w:b w:val="0"/>
                <w:color w:val="1D2433"/>
                <w:sz w:val="15"/>
              </w:rPr>
              <w:t>Prior QR/session cannot be used after revocation.</w:t>
            </w:r>
          </w:p>
        </w:tc>
      </w:tr>
      <w:tr>
        <w:tc>
          <w:tcPr>
            <w:tcW w:type="dxa" w:w="25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DSAR/erasure</w:t>
            </w:r>
          </w:p>
        </w:tc>
        <w:tc>
          <w:tcPr>
            <w:tcW w:type="dxa" w:w="68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Export is complete; required retained evidence is restricted and explained.</w:t>
            </w:r>
          </w:p>
        </w:tc>
      </w:tr>
    </w:tbl>
    <w:p>
      <w:pPr>
        <w:spacing w:after="20"/>
      </w:pPr>
    </w:p>
    <w:p>
      <w:pPr>
        <w:pStyle w:val="Heading2"/>
        <w:keepNext/>
      </w:pPr>
      <w:r>
        <w:t>22.3 Quality thresholds</w:t>
      </w:r>
    </w:p>
    <w:p>
      <w:pPr>
        <w:pStyle w:val="ListBullet"/>
      </w:pPr>
      <w:r>
        <w:rPr>
          <w:rFonts w:ascii="Aptos" w:hAnsi="Aptos"/>
          <w:b w:val="0"/>
          <w:color w:val="1D2433"/>
          <w:sz w:val="19"/>
        </w:rPr>
        <w:t>No open critical or high-severity security defect.</w:t>
      </w:r>
    </w:p>
    <w:p>
      <w:pPr>
        <w:pStyle w:val="ListBullet"/>
      </w:pPr>
      <w:r>
        <w:rPr>
          <w:rFonts w:ascii="Aptos" w:hAnsi="Aptos"/>
          <w:b w:val="0"/>
          <w:color w:val="1D2433"/>
          <w:sz w:val="19"/>
        </w:rPr>
        <w:t>No known ledger integrity, double-redemption, cross-household disclosure or consent-bypass defect at any severity.</w:t>
      </w:r>
    </w:p>
    <w:p>
      <w:pPr>
        <w:pStyle w:val="ListBullet"/>
      </w:pPr>
      <w:r>
        <w:rPr>
          <w:rFonts w:ascii="Aptos" w:hAnsi="Aptos"/>
          <w:b w:val="0"/>
          <w:color w:val="1D2433"/>
          <w:sz w:val="19"/>
        </w:rPr>
        <w:t>All critical journeys have automated end-to-end coverage and production synthetic monitoring.</w:t>
      </w:r>
    </w:p>
    <w:p>
      <w:pPr>
        <w:pStyle w:val="ListBullet"/>
      </w:pPr>
      <w:r>
        <w:rPr>
          <w:rFonts w:ascii="Aptos" w:hAnsi="Aptos"/>
          <w:b w:val="0"/>
          <w:color w:val="1D2433"/>
          <w:sz w:val="19"/>
        </w:rPr>
        <w:t>Changed code meets agreed coverage policy; domain invariants are tested independent of line coverage.</w:t>
      </w:r>
    </w:p>
    <w:p>
      <w:pPr>
        <w:pStyle w:val="ListBullet"/>
      </w:pPr>
      <w:r>
        <w:rPr>
          <w:rFonts w:ascii="Aptos" w:hAnsi="Aptos"/>
          <w:b w:val="0"/>
          <w:color w:val="1D2433"/>
          <w:sz w:val="19"/>
        </w:rPr>
        <w:t>Zero unresolved reconciliation variance in production rehearsal.</w:t>
      </w:r>
    </w:p>
    <w:p>
      <w:pPr>
        <w:pStyle w:val="ListBullet"/>
      </w:pPr>
      <w:r>
        <w:rPr>
          <w:rFonts w:ascii="Aptos" w:hAnsi="Aptos"/>
          <w:b w:val="0"/>
          <w:color w:val="1D2433"/>
          <w:sz w:val="19"/>
        </w:rPr>
        <w:t>Accessibility has no known WCAG 2.2 AA blocker in critical journeys.</w:t>
      </w:r>
    </w:p>
    <w:p>
      <w:pPr>
        <w:pStyle w:val="Heading1"/>
        <w:keepNext/>
      </w:pPr>
      <w:r>
        <w:t>23. Production deployment and cutover</w:t>
      </w:r>
    </w:p>
    <w:p>
      <w:r>
        <w:rPr>
          <w:rFonts w:ascii="Aptos" w:hAnsi="Aptos"/>
          <w:b w:val="0"/>
          <w:i w:val="0"/>
          <w:color w:val="1D2433"/>
          <w:sz w:val="19"/>
        </w:rPr>
        <w:t>The product is delivered as one complete production system. Deployment discipline does not create a phased product scope. Feature flags, canaries and controlled data activation are safety mechanisms; all capabilities must be implemented, tested and ready in the production release.</w:t>
      </w:r>
    </w:p>
    <w:p>
      <w:pPr>
        <w:pStyle w:val="Heading2"/>
        <w:keepNext/>
      </w:pPr>
      <w:r>
        <w:t>23.1 Environments</w:t>
      </w:r>
    </w:p>
    <w:p>
      <w:pPr>
        <w:pStyle w:val="ListBullet"/>
      </w:pPr>
      <w:r>
        <w:rPr>
          <w:rFonts w:ascii="Aptos" w:hAnsi="Aptos"/>
          <w:b w:val="0"/>
          <w:color w:val="1D2433"/>
          <w:sz w:val="19"/>
        </w:rPr>
        <w:t>Local development with deterministic fixtures and provider emulators.</w:t>
      </w:r>
    </w:p>
    <w:p>
      <w:pPr>
        <w:pStyle w:val="ListBullet"/>
      </w:pPr>
      <w:r>
        <w:rPr>
          <w:rFonts w:ascii="Aptos" w:hAnsi="Aptos"/>
          <w:b w:val="0"/>
          <w:color w:val="1D2433"/>
          <w:sz w:val="19"/>
        </w:rPr>
        <w:t>Continuous integration environment with isolated ephemeral dependencies.</w:t>
      </w:r>
    </w:p>
    <w:p>
      <w:pPr>
        <w:pStyle w:val="ListBullet"/>
      </w:pPr>
      <w:r>
        <w:rPr>
          <w:rFonts w:ascii="Aptos" w:hAnsi="Aptos"/>
          <w:b w:val="0"/>
          <w:color w:val="1D2433"/>
          <w:sz w:val="19"/>
        </w:rPr>
        <w:t>Staging/pre-production environment matching production topology and security configuration as closely as practical.</w:t>
      </w:r>
    </w:p>
    <w:p>
      <w:pPr>
        <w:pStyle w:val="ListBullet"/>
      </w:pPr>
      <w:r>
        <w:rPr>
          <w:rFonts w:ascii="Aptos" w:hAnsi="Aptos"/>
          <w:b w:val="0"/>
          <w:color w:val="1D2433"/>
          <w:sz w:val="19"/>
        </w:rPr>
        <w:t>Production environment with isolated credentials, approved network/data boundaries and monitored backups.</w:t>
      </w:r>
    </w:p>
    <w:p>
      <w:pPr>
        <w:pStyle w:val="Heading2"/>
        <w:keepNext/>
      </w:pPr>
      <w:r>
        <w:t>23.2 Cutover requirements</w:t>
      </w:r>
    </w:p>
    <w:p>
      <w:pPr>
        <w:pStyle w:val="ListNumber"/>
      </w:pPr>
      <w:r>
        <w:rPr>
          <w:rFonts w:ascii="Aptos" w:hAnsi="Aptos"/>
          <w:b w:val="0"/>
          <w:color w:val="1D2433"/>
          <w:sz w:val="19"/>
        </w:rPr>
        <w:t>Freeze and approve configuration, rules, rewards, templates, providers and data-processing records.</w:t>
      </w:r>
    </w:p>
    <w:p>
      <w:pPr>
        <w:pStyle w:val="ListNumber"/>
      </w:pPr>
      <w:r>
        <w:rPr>
          <w:rFonts w:ascii="Aptos" w:hAnsi="Aptos"/>
          <w:b w:val="0"/>
          <w:color w:val="1D2433"/>
          <w:sz w:val="19"/>
        </w:rPr>
        <w:t>Complete migration dry runs until control totals and sampled records reconcile.</w:t>
      </w:r>
    </w:p>
    <w:p>
      <w:pPr>
        <w:pStyle w:val="ListNumber"/>
      </w:pPr>
      <w:r>
        <w:rPr>
          <w:rFonts w:ascii="Aptos" w:hAnsi="Aptos"/>
          <w:b w:val="0"/>
          <w:color w:val="1D2433"/>
          <w:sz w:val="19"/>
        </w:rPr>
        <w:t>Complete load, failover, restore, security and operational acceptance tests.</w:t>
      </w:r>
    </w:p>
    <w:p>
      <w:pPr>
        <w:pStyle w:val="ListNumber"/>
      </w:pPr>
      <w:r>
        <w:rPr>
          <w:rFonts w:ascii="Aptos" w:hAnsi="Aptos"/>
          <w:b w:val="0"/>
          <w:color w:val="1D2433"/>
          <w:sz w:val="19"/>
        </w:rPr>
        <w:t>Train park, support, marketing, finance, privacy and security operators using production-like scenarios.</w:t>
      </w:r>
    </w:p>
    <w:p>
      <w:pPr>
        <w:pStyle w:val="ListNumber"/>
      </w:pPr>
      <w:r>
        <w:rPr>
          <w:rFonts w:ascii="Aptos" w:hAnsi="Aptos"/>
          <w:b w:val="0"/>
          <w:color w:val="1D2433"/>
          <w:sz w:val="19"/>
        </w:rPr>
        <w:t>Deploy production with customer earning disabled only for a bounded technical verification window, not as an incomplete product.</w:t>
      </w:r>
    </w:p>
    <w:p>
      <w:pPr>
        <w:pStyle w:val="ListNumber"/>
      </w:pPr>
      <w:r>
        <w:rPr>
          <w:rFonts w:ascii="Aptos" w:hAnsi="Aptos"/>
          <w:b w:val="0"/>
          <w:color w:val="1D2433"/>
          <w:sz w:val="19"/>
        </w:rPr>
        <w:t>Run synthetic sign-in, scan, earn, redeem, voucher, consent and provider tests.</w:t>
      </w:r>
    </w:p>
    <w:p>
      <w:pPr>
        <w:pStyle w:val="ListNumber"/>
      </w:pPr>
      <w:r>
        <w:rPr>
          <w:rFonts w:ascii="Aptos" w:hAnsi="Aptos"/>
          <w:b w:val="0"/>
          <w:color w:val="1D2433"/>
          <w:sz w:val="19"/>
        </w:rPr>
        <w:t>Perform final incremental migration and reconciliation.</w:t>
      </w:r>
    </w:p>
    <w:p>
      <w:pPr>
        <w:pStyle w:val="ListNumber"/>
      </w:pPr>
      <w:r>
        <w:rPr>
          <w:rFonts w:ascii="Aptos" w:hAnsi="Aptos"/>
          <w:b w:val="0"/>
          <w:color w:val="1D2433"/>
          <w:sz w:val="19"/>
        </w:rPr>
        <w:t>Activate approved rules and channels through audited configuration.</w:t>
      </w:r>
    </w:p>
    <w:p>
      <w:pPr>
        <w:pStyle w:val="ListNumber"/>
      </w:pPr>
      <w:r>
        <w:rPr>
          <w:rFonts w:ascii="Aptos" w:hAnsi="Aptos"/>
          <w:b w:val="0"/>
          <w:color w:val="1D2433"/>
          <w:sz w:val="19"/>
        </w:rPr>
        <w:t>Monitor canary parks/users and system-wide control metrics; rollback automatically on safety thresholds.</w:t>
      </w:r>
    </w:p>
    <w:p>
      <w:pPr>
        <w:pStyle w:val="ListNumber"/>
      </w:pPr>
      <w:r>
        <w:rPr>
          <w:rFonts w:ascii="Aptos" w:hAnsi="Aptos"/>
          <w:b w:val="0"/>
          <w:color w:val="1D2433"/>
          <w:sz w:val="19"/>
        </w:rPr>
        <w:t>Declare service operational only when all acceptance gates and reconciliation checks pass.</w:t>
      </w:r>
    </w:p>
    <w:p>
      <w:pPr>
        <w:pStyle w:val="Heading2"/>
        <w:keepNext/>
      </w:pPr>
      <w:r>
        <w:t>23.3 Rollback</w:t>
      </w:r>
    </w:p>
    <w:p>
      <w:pPr>
        <w:pStyle w:val="ListBullet"/>
      </w:pPr>
      <w:r>
        <w:rPr>
          <w:rFonts w:ascii="Aptos" w:hAnsi="Aptos"/>
          <w:b w:val="0"/>
          <w:color w:val="1D2433"/>
          <w:sz w:val="19"/>
        </w:rPr>
        <w:t>Application rollback must not roll back or delete committed ledger entries.</w:t>
      </w:r>
    </w:p>
    <w:p>
      <w:pPr>
        <w:pStyle w:val="ListBullet"/>
      </w:pPr>
      <w:r>
        <w:rPr>
          <w:rFonts w:ascii="Aptos" w:hAnsi="Aptos"/>
          <w:b w:val="0"/>
          <w:color w:val="1D2433"/>
          <w:sz w:val="19"/>
        </w:rPr>
        <w:t>Schema changes use expand/migrate/contract patterns compatible with prior version during rollback window.</w:t>
      </w:r>
    </w:p>
    <w:p>
      <w:pPr>
        <w:pStyle w:val="ListBullet"/>
      </w:pPr>
      <w:r>
        <w:rPr>
          <w:rFonts w:ascii="Aptos" w:hAnsi="Aptos"/>
          <w:b w:val="0"/>
          <w:color w:val="1D2433"/>
          <w:sz w:val="19"/>
        </w:rPr>
        <w:t>Campaign and earning emergency-off switches operate independently of deployment.</w:t>
      </w:r>
    </w:p>
    <w:p>
      <w:pPr>
        <w:pStyle w:val="ListBullet"/>
      </w:pPr>
      <w:r>
        <w:rPr>
          <w:rFonts w:ascii="Aptos" w:hAnsi="Aptos"/>
          <w:b w:val="0"/>
          <w:color w:val="1D2433"/>
          <w:sz w:val="19"/>
        </w:rPr>
        <w:t>Provider callback versions remain compatible during rollback window.</w:t>
      </w:r>
    </w:p>
    <w:p>
      <w:pPr>
        <w:pStyle w:val="ListBullet"/>
      </w:pPr>
      <w:r>
        <w:rPr>
          <w:rFonts w:ascii="Aptos" w:hAnsi="Aptos"/>
          <w:b w:val="0"/>
          <w:color w:val="1D2433"/>
          <w:sz w:val="19"/>
        </w:rPr>
        <w:t>Post-rollback reconciliation identifies any accepted-but-unprocessed events.</w:t>
      </w:r>
    </w:p>
    <w:p>
      <w:pPr>
        <w:pStyle w:val="Heading1"/>
        <w:keepNext/>
      </w:pPr>
      <w:r>
        <w:t>24. Production acceptance gates and definition of done</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vAlign w:val="center"/>
            <w:shd w:fill="0B2545"/>
            <w:tcMar>
              <w:top w:w="90" w:type="dxa"/>
              <w:start w:w="120" w:type="dxa"/>
              <w:bottom w:w="90" w:type="dxa"/>
              <w:end w:w="120" w:type="dxa"/>
            </w:tcMar>
          </w:tcPr>
          <w:p>
            <w:pPr>
              <w:spacing w:after="0"/>
            </w:pPr>
            <w:r/>
            <w:r>
              <w:rPr>
                <w:rFonts w:ascii="Aptos" w:hAnsi="Aptos"/>
                <w:b/>
                <w:color w:val="FFFFFF"/>
                <w:sz w:val="15"/>
              </w:rPr>
              <w:t>Gate</w:t>
            </w:r>
          </w:p>
        </w:tc>
        <w:tc>
          <w:tcPr>
            <w:tcW w:type="dxa" w:w="7160"/>
            <w:shd w:fill="0B2545"/>
            <w:tcMar>
              <w:top w:w="90" w:type="dxa"/>
              <w:start w:w="120" w:type="dxa"/>
              <w:bottom w:w="90" w:type="dxa"/>
              <w:end w:w="120" w:type="dxa"/>
            </w:tcMar>
          </w:tcPr>
          <w:p>
            <w:pPr>
              <w:spacing w:after="0"/>
            </w:pPr>
            <w:r/>
            <w:r>
              <w:rPr>
                <w:rFonts w:ascii="Aptos" w:hAnsi="Aptos"/>
                <w:b/>
                <w:color w:val="FFFFFF"/>
                <w:sz w:val="15"/>
              </w:rPr>
              <w:t>Required evidence</w:t>
            </w:r>
          </w:p>
        </w:tc>
      </w:tr>
      <w:tr>
        <w:tc>
          <w:tcPr>
            <w:tcW w:type="dxa" w:w="2200"/>
            <w:vAlign w:val="top"/>
            <w:tcMar>
              <w:top w:w="90" w:type="dxa"/>
              <w:start w:w="120" w:type="dxa"/>
              <w:bottom w:w="90" w:type="dxa"/>
              <w:end w:w="120" w:type="dxa"/>
            </w:tcMar>
          </w:tcPr>
          <w:p>
            <w:pPr>
              <w:spacing w:after="0" w:line="250" w:lineRule="auto"/>
            </w:pPr>
            <w:r/>
            <w:r>
              <w:rPr>
                <w:rFonts w:ascii="Aptos" w:hAnsi="Aptos"/>
                <w:b w:val="0"/>
                <w:color w:val="1D2433"/>
                <w:sz w:val="15"/>
              </w:rPr>
              <w:t>Product completeness</w:t>
            </w:r>
          </w:p>
        </w:tc>
        <w:tc>
          <w:tcPr>
            <w:tcW w:type="dxa" w:w="7160"/>
            <w:vAlign w:val="top"/>
            <w:tcMar>
              <w:top w:w="90" w:type="dxa"/>
              <w:start w:w="120" w:type="dxa"/>
              <w:bottom w:w="90" w:type="dxa"/>
              <w:end w:w="120" w:type="dxa"/>
            </w:tcMar>
          </w:tcPr>
          <w:p>
            <w:pPr>
              <w:spacing w:after="0" w:line="250" w:lineRule="auto"/>
            </w:pPr>
            <w:r/>
            <w:r>
              <w:rPr>
                <w:rFonts w:ascii="Aptos" w:hAnsi="Aptos"/>
                <w:b w:val="0"/>
                <w:color w:val="1D2433"/>
                <w:sz w:val="15"/>
              </w:rPr>
              <w:t>Every requirement ID implemented; traceability matrix links requirement → code/config → tests → operator evidence.</w:t>
            </w:r>
          </w:p>
        </w:tc>
      </w:tr>
      <w:tr>
        <w:tc>
          <w:tcPr>
            <w:tcW w:type="dxa" w:w="22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Customer experience</w:t>
            </w:r>
          </w:p>
        </w:tc>
        <w:tc>
          <w:tcPr>
            <w:tcW w:type="dxa" w:w="71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All defined journeys pass in PT-PT and EN on supported devices and accessibility review.</w:t>
            </w:r>
          </w:p>
        </w:tc>
      </w:tr>
      <w:tr>
        <w:tc>
          <w:tcPr>
            <w:tcW w:type="dxa" w:w="2200"/>
            <w:vAlign w:val="top"/>
            <w:tcMar>
              <w:top w:w="90" w:type="dxa"/>
              <w:start w:w="120" w:type="dxa"/>
              <w:bottom w:w="90" w:type="dxa"/>
              <w:end w:w="120" w:type="dxa"/>
            </w:tcMar>
          </w:tcPr>
          <w:p>
            <w:pPr>
              <w:spacing w:after="0" w:line="250" w:lineRule="auto"/>
            </w:pPr>
            <w:r/>
            <w:r>
              <w:rPr>
                <w:rFonts w:ascii="Aptos" w:hAnsi="Aptos"/>
                <w:b w:val="0"/>
                <w:color w:val="1D2433"/>
                <w:sz w:val="15"/>
              </w:rPr>
              <w:t>Ledger/value integrity</w:t>
            </w:r>
          </w:p>
        </w:tc>
        <w:tc>
          <w:tcPr>
            <w:tcW w:type="dxa" w:w="7160"/>
            <w:vAlign w:val="top"/>
            <w:tcMar>
              <w:top w:w="90" w:type="dxa"/>
              <w:start w:w="120" w:type="dxa"/>
              <w:bottom w:w="90" w:type="dxa"/>
              <w:end w:w="120" w:type="dxa"/>
            </w:tcMar>
          </w:tcPr>
          <w:p>
            <w:pPr>
              <w:spacing w:after="0" w:line="250" w:lineRule="auto"/>
            </w:pPr>
            <w:r/>
            <w:r>
              <w:rPr>
                <w:rFonts w:ascii="Aptos" w:hAnsi="Aptos"/>
                <w:b w:val="0"/>
                <w:color w:val="1D2433"/>
                <w:sz w:val="15"/>
              </w:rPr>
              <w:t>Property, concurrency, reversal, migration and reconciliation suites pass with zero unexplained variance.</w:t>
            </w:r>
          </w:p>
        </w:tc>
      </w:tr>
      <w:tr>
        <w:tc>
          <w:tcPr>
            <w:tcW w:type="dxa" w:w="22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Integrations</w:t>
            </w:r>
          </w:p>
        </w:tc>
        <w:tc>
          <w:tcPr>
            <w:tcW w:type="dxa" w:w="71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Each production provider passes sandbox/contract tests, signed webhook verification, replay and outage recovery.</w:t>
            </w:r>
          </w:p>
        </w:tc>
      </w:tr>
      <w:tr>
        <w:tc>
          <w:tcPr>
            <w:tcW w:type="dxa" w:w="2200"/>
            <w:vAlign w:val="top"/>
            <w:tcMar>
              <w:top w:w="90" w:type="dxa"/>
              <w:start w:w="120" w:type="dxa"/>
              <w:bottom w:w="90" w:type="dxa"/>
              <w:end w:w="120" w:type="dxa"/>
            </w:tcMar>
          </w:tcPr>
          <w:p>
            <w:pPr>
              <w:spacing w:after="0" w:line="250" w:lineRule="auto"/>
            </w:pPr>
            <w:r/>
            <w:r>
              <w:rPr>
                <w:rFonts w:ascii="Aptos" w:hAnsi="Aptos"/>
                <w:b w:val="0"/>
                <w:color w:val="1D2433"/>
                <w:sz w:val="15"/>
              </w:rPr>
              <w:t>Security</w:t>
            </w:r>
          </w:p>
        </w:tc>
        <w:tc>
          <w:tcPr>
            <w:tcW w:type="dxa" w:w="7160"/>
            <w:vAlign w:val="top"/>
            <w:tcMar>
              <w:top w:w="90" w:type="dxa"/>
              <w:start w:w="120" w:type="dxa"/>
              <w:bottom w:w="90" w:type="dxa"/>
              <w:end w:w="120" w:type="dxa"/>
            </w:tcMar>
          </w:tcPr>
          <w:p>
            <w:pPr>
              <w:spacing w:after="0" w:line="250" w:lineRule="auto"/>
            </w:pPr>
            <w:r/>
            <w:r>
              <w:rPr>
                <w:rFonts w:ascii="Aptos" w:hAnsi="Aptos"/>
                <w:b w:val="0"/>
                <w:color w:val="1D2433"/>
                <w:sz w:val="15"/>
              </w:rPr>
              <w:t>Threat model, hardening, scanning and independent penetration test completed; critical/high issues closed.</w:t>
            </w:r>
          </w:p>
        </w:tc>
      </w:tr>
      <w:tr>
        <w:tc>
          <w:tcPr>
            <w:tcW w:type="dxa" w:w="22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Privacy/RGPD</w:t>
            </w:r>
          </w:p>
        </w:tc>
        <w:tc>
          <w:tcPr>
            <w:tcW w:type="dxa" w:w="71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DPIA/assessment as required, records of processing, processor list, DPA set, consent evidence and rights workflows approved.</w:t>
            </w:r>
          </w:p>
        </w:tc>
      </w:tr>
      <w:tr>
        <w:tc>
          <w:tcPr>
            <w:tcW w:type="dxa" w:w="2200"/>
            <w:vAlign w:val="top"/>
            <w:tcMar>
              <w:top w:w="90" w:type="dxa"/>
              <w:start w:w="120" w:type="dxa"/>
              <w:bottom w:w="90" w:type="dxa"/>
              <w:end w:w="120" w:type="dxa"/>
            </w:tcMar>
          </w:tcPr>
          <w:p>
            <w:pPr>
              <w:spacing w:after="0" w:line="250" w:lineRule="auto"/>
            </w:pPr>
            <w:r/>
            <w:r>
              <w:rPr>
                <w:rFonts w:ascii="Aptos" w:hAnsi="Aptos"/>
                <w:b w:val="0"/>
                <w:color w:val="1D2433"/>
                <w:sz w:val="15"/>
              </w:rPr>
              <w:t>Reliability</w:t>
            </w:r>
          </w:p>
        </w:tc>
        <w:tc>
          <w:tcPr>
            <w:tcW w:type="dxa" w:w="7160"/>
            <w:vAlign w:val="top"/>
            <w:tcMar>
              <w:top w:w="90" w:type="dxa"/>
              <w:start w:w="120" w:type="dxa"/>
              <w:bottom w:w="90" w:type="dxa"/>
              <w:end w:w="120" w:type="dxa"/>
            </w:tcMar>
          </w:tcPr>
          <w:p>
            <w:pPr>
              <w:spacing w:after="0" w:line="250" w:lineRule="auto"/>
            </w:pPr>
            <w:r/>
            <w:r>
              <w:rPr>
                <w:rFonts w:ascii="Aptos" w:hAnsi="Aptos"/>
                <w:b w:val="0"/>
                <w:color w:val="1D2433"/>
                <w:sz w:val="15"/>
              </w:rPr>
              <w:t>Load, soak, failure injection, backup restore and DR targets demonstrated.</w:t>
            </w:r>
          </w:p>
        </w:tc>
      </w:tr>
      <w:tr>
        <w:tc>
          <w:tcPr>
            <w:tcW w:type="dxa" w:w="22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Observability</w:t>
            </w:r>
          </w:p>
        </w:tc>
        <w:tc>
          <w:tcPr>
            <w:tcW w:type="dxa" w:w="71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Dashboards, alerts, synthetics, logs/traces, on-call routing and runbooks validated.</w:t>
            </w:r>
          </w:p>
        </w:tc>
      </w:tr>
      <w:tr>
        <w:tc>
          <w:tcPr>
            <w:tcW w:type="dxa" w:w="2200"/>
            <w:vAlign w:val="top"/>
            <w:tcMar>
              <w:top w:w="90" w:type="dxa"/>
              <w:start w:w="120" w:type="dxa"/>
              <w:bottom w:w="90" w:type="dxa"/>
              <w:end w:w="120" w:type="dxa"/>
            </w:tcMar>
          </w:tcPr>
          <w:p>
            <w:pPr>
              <w:spacing w:after="0" w:line="250" w:lineRule="auto"/>
            </w:pPr>
            <w:r/>
            <w:r>
              <w:rPr>
                <w:rFonts w:ascii="Aptos" w:hAnsi="Aptos"/>
                <w:b w:val="0"/>
                <w:color w:val="1D2433"/>
                <w:sz w:val="15"/>
              </w:rPr>
              <w:t>Operations</w:t>
            </w:r>
          </w:p>
        </w:tc>
        <w:tc>
          <w:tcPr>
            <w:tcW w:type="dxa" w:w="7160"/>
            <w:vAlign w:val="top"/>
            <w:tcMar>
              <w:top w:w="90" w:type="dxa"/>
              <w:start w:w="120" w:type="dxa"/>
              <w:bottom w:w="90" w:type="dxa"/>
              <w:end w:w="120" w:type="dxa"/>
            </w:tcMar>
          </w:tcPr>
          <w:p>
            <w:pPr>
              <w:spacing w:after="0" w:line="250" w:lineRule="auto"/>
            </w:pPr>
            <w:r/>
            <w:r>
              <w:rPr>
                <w:rFonts w:ascii="Aptos" w:hAnsi="Aptos"/>
                <w:b w:val="0"/>
                <w:color w:val="1D2433"/>
                <w:sz w:val="15"/>
              </w:rPr>
              <w:t>Park/support/finance/marketing/privacy/security training and permission reviews complete.</w:t>
            </w:r>
          </w:p>
        </w:tc>
      </w:tr>
      <w:tr>
        <w:tc>
          <w:tcPr>
            <w:tcW w:type="dxa" w:w="22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Data migration</w:t>
            </w:r>
          </w:p>
        </w:tc>
        <w:tc>
          <w:tcPr>
            <w:tcW w:type="dxa" w:w="71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Control totals, duplicate handling, samples and reconciliation signed off.</w:t>
            </w:r>
          </w:p>
        </w:tc>
      </w:tr>
      <w:tr>
        <w:tc>
          <w:tcPr>
            <w:tcW w:type="dxa" w:w="2200"/>
            <w:vAlign w:val="top"/>
            <w:tcMar>
              <w:top w:w="90" w:type="dxa"/>
              <w:start w:w="120" w:type="dxa"/>
              <w:bottom w:w="90" w:type="dxa"/>
              <w:end w:w="120" w:type="dxa"/>
            </w:tcMar>
          </w:tcPr>
          <w:p>
            <w:pPr>
              <w:spacing w:after="0" w:line="250" w:lineRule="auto"/>
            </w:pPr>
            <w:r/>
            <w:r>
              <w:rPr>
                <w:rFonts w:ascii="Aptos" w:hAnsi="Aptos"/>
                <w:b w:val="0"/>
                <w:color w:val="1D2433"/>
                <w:sz w:val="15"/>
              </w:rPr>
              <w:t>Commercial readiness</w:t>
            </w:r>
          </w:p>
        </w:tc>
        <w:tc>
          <w:tcPr>
            <w:tcW w:type="dxa" w:w="7160"/>
            <w:vAlign w:val="top"/>
            <w:tcMar>
              <w:top w:w="90" w:type="dxa"/>
              <w:start w:w="120" w:type="dxa"/>
              <w:bottom w:w="90" w:type="dxa"/>
              <w:end w:w="120" w:type="dxa"/>
            </w:tcMar>
          </w:tcPr>
          <w:p>
            <w:pPr>
              <w:spacing w:after="0" w:line="250" w:lineRule="auto"/>
            </w:pPr>
            <w:r/>
            <w:r>
              <w:rPr>
                <w:rFonts w:ascii="Aptos" w:hAnsi="Aptos"/>
                <w:b w:val="0"/>
                <w:color w:val="1D2433"/>
                <w:sz w:val="15"/>
              </w:rPr>
              <w:t>Approved loyalty economics, reward inventory, terms, budgets, campaign content and customer support policy active.</w:t>
            </w:r>
          </w:p>
        </w:tc>
      </w:tr>
      <w:tr>
        <w:tc>
          <w:tcPr>
            <w:tcW w:type="dxa" w:w="22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Documentation</w:t>
            </w:r>
          </w:p>
        </w:tc>
        <w:tc>
          <w:tcPr>
            <w:tcW w:type="dxa" w:w="71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Architecture, ADRs, OpenAPI/AsyncAPI, data dictionary, runbooks, incident plan and administrator guide current.</w:t>
            </w:r>
          </w:p>
        </w:tc>
      </w:tr>
    </w:tbl>
    <w:p>
      <w:pPr>
        <w:spacing w:after="20"/>
      </w:pPr>
    </w:p>
    <w:p>
      <w:pPr>
        <w:pStyle w:val="Heading2"/>
        <w:keepNext/>
      </w:pPr>
      <w:r>
        <w:t>24.1 Definition of done</w:t>
      </w:r>
    </w:p>
    <w:p>
      <w:pPr>
        <w:spacing w:before="100" w:after="140" w:line="259" w:lineRule="auto"/>
        <w:ind w:left="160" w:right="160"/>
        <w:shd w:fill="E8EEF5"/>
        <w:pBdr>
          <w:top w:val="single" w:sz="6" w:space="5" w:color="AAB4C3"/>
          <w:left w:val="single" w:sz="6" w:space="5" w:color="AAB4C3"/>
          <w:bottom w:val="single" w:sz="6" w:space="5" w:color="AAB4C3"/>
          <w:right w:val="single" w:sz="6" w:space="5" w:color="AAB4C3"/>
        </w:pBdr>
      </w:pPr>
      <w:r>
        <w:rPr>
          <w:rFonts w:ascii="Aptos" w:hAnsi="Aptos"/>
          <w:b/>
          <w:color w:val="5A3EC8"/>
          <w:sz w:val="16"/>
        </w:rPr>
        <w:t xml:space="preserve">DONE MEANS OPERABLE  </w:t>
      </w:r>
      <w:r>
        <w:rPr>
          <w:rFonts w:ascii="Aptos" w:hAnsi="Aptos"/>
          <w:b w:val="0"/>
          <w:color w:val="1D2433"/>
          <w:sz w:val="18"/>
        </w:rPr>
        <w:t>The build is done only when Quantum Park can safely operate it in production without developer intervention for ordinary customer support, rule publishing, campaigns, reconciliations, staff/device management, privacy requests, backups and incident containment. “Code complete,” “deployed,” “demo works” or “tests mostly pass” are not completion states.</w:t>
      </w:r>
    </w:p>
    <w:p>
      <w:pPr>
        <w:pStyle w:val="Heading1"/>
        <w:keepNext/>
      </w:pPr>
      <w:r>
        <w:t>25. Agentic implementation obligations</w:t>
      </w:r>
    </w:p>
    <w:p>
      <w:r>
        <w:rPr>
          <w:rFonts w:ascii="Aptos" w:hAnsi="Aptos"/>
          <w:b w:val="0"/>
          <w:i w:val="0"/>
          <w:color w:val="1D2433"/>
          <w:sz w:val="19"/>
        </w:rPr>
        <w:t>The developer agents receiving this PRD must treat it as a closed production scope. They may decompose work internally, run parallel agents and use iterative repair loops, but they must not convert the product into a roadmap or ask Quantum Park to accept missing capabilities as a later phase.</w:t>
      </w:r>
    </w:p>
    <w:tbl>
      <w:tblPr>
        <w:tblStyle w:val="TableGrid"/>
        <w:tblW w:type="dxa" w:w="9360"/>
        <w:jc w:val="left"/>
        <w:tblLayout w:type="fixed"/>
        <w:tblLook w:firstColumn="1" w:firstRow="1" w:lastColumn="0" w:lastRow="0" w:noHBand="0" w:noVBand="1" w:val="04A0"/>
        <w:tblInd w:w="120" w:type="dxa"/>
      </w:tblPr>
      <w:tblGrid>
        <w:gridCol w:w="850"/>
        <w:gridCol w:w="5450"/>
        <w:gridCol w:w="3060"/>
      </w:tblGrid>
      <w:tr>
        <w:trPr>
          <w:tblHeader w:val="true"/>
        </w:trPr>
        <w:tc>
          <w:tcPr>
            <w:tcW w:type="dxa" w:w="850"/>
            <w:vAlign w:val="center"/>
            <w:shd w:fill="0B2545"/>
            <w:tcMar>
              <w:top w:w="90" w:type="dxa"/>
              <w:start w:w="120" w:type="dxa"/>
              <w:bottom w:w="90" w:type="dxa"/>
              <w:end w:w="120" w:type="dxa"/>
            </w:tcMar>
          </w:tcPr>
          <w:p>
            <w:pPr>
              <w:spacing w:after="0"/>
            </w:pPr>
            <w:r/>
            <w:r>
              <w:rPr>
                <w:rFonts w:ascii="Aptos" w:hAnsi="Aptos"/>
                <w:b/>
                <w:color w:val="FFFFFF"/>
                <w:sz w:val="15"/>
              </w:rPr>
              <w:t>ID</w:t>
            </w:r>
          </w:p>
        </w:tc>
        <w:tc>
          <w:tcPr>
            <w:tcW w:type="dxa" w:w="5450"/>
            <w:shd w:fill="0B2545"/>
            <w:tcMar>
              <w:top w:w="90" w:type="dxa"/>
              <w:start w:w="120" w:type="dxa"/>
              <w:bottom w:w="90" w:type="dxa"/>
              <w:end w:w="120" w:type="dxa"/>
            </w:tcMar>
          </w:tcPr>
          <w:p>
            <w:pPr>
              <w:spacing w:after="0"/>
            </w:pPr>
            <w:r/>
            <w:r>
              <w:rPr>
                <w:rFonts w:ascii="Aptos" w:hAnsi="Aptos"/>
                <w:b/>
                <w:color w:val="FFFFFF"/>
                <w:sz w:val="15"/>
              </w:rPr>
              <w:t>Production requirement</w:t>
            </w:r>
          </w:p>
        </w:tc>
        <w:tc>
          <w:tcPr>
            <w:tcW w:type="dxa" w:w="3060"/>
            <w:shd w:fill="0B2545"/>
            <w:tcMar>
              <w:top w:w="90" w:type="dxa"/>
              <w:start w:w="120" w:type="dxa"/>
              <w:bottom w:w="90" w:type="dxa"/>
              <w:end w:w="120" w:type="dxa"/>
            </w:tcMar>
          </w:tcPr>
          <w:p>
            <w:pPr>
              <w:spacing w:after="0"/>
            </w:pPr>
            <w:r/>
            <w:r>
              <w:rPr>
                <w:rFonts w:ascii="Aptos" w:hAnsi="Aptos"/>
                <w:b/>
                <w:color w:val="FFFFFF"/>
                <w:sz w:val="15"/>
              </w:rPr>
              <w:t>Acceptance evidence</w:t>
            </w:r>
          </w:p>
        </w:tc>
      </w:tr>
      <w:tr>
        <w:tc>
          <w:tcPr>
            <w:tcW w:type="dxa" w:w="850"/>
            <w:vAlign w:val="top"/>
            <w:tcMar>
              <w:top w:w="90" w:type="dxa"/>
              <w:start w:w="120" w:type="dxa"/>
              <w:bottom w:w="90" w:type="dxa"/>
              <w:end w:w="120" w:type="dxa"/>
            </w:tcMar>
          </w:tcPr>
          <w:p>
            <w:pPr>
              <w:spacing w:after="0" w:line="250" w:lineRule="auto"/>
            </w:pPr>
            <w:r/>
            <w:r>
              <w:rPr>
                <w:rFonts w:ascii="Aptos" w:hAnsi="Aptos"/>
                <w:b w:val="0"/>
                <w:color w:val="1D2433"/>
                <w:sz w:val="15"/>
              </w:rPr>
              <w:t>AGT-001</w:t>
            </w:r>
          </w:p>
        </w:tc>
        <w:tc>
          <w:tcPr>
            <w:tcW w:type="dxa" w:w="5450"/>
            <w:vAlign w:val="top"/>
            <w:tcMar>
              <w:top w:w="90" w:type="dxa"/>
              <w:start w:w="120" w:type="dxa"/>
              <w:bottom w:w="90" w:type="dxa"/>
              <w:end w:w="120" w:type="dxa"/>
            </w:tcMar>
          </w:tcPr>
          <w:p>
            <w:pPr>
              <w:spacing w:after="0" w:line="250" w:lineRule="auto"/>
            </w:pPr>
            <w:r/>
            <w:r>
              <w:rPr>
                <w:rFonts w:ascii="Aptos" w:hAnsi="Aptos"/>
                <w:b w:val="0"/>
                <w:color w:val="1D2433"/>
                <w:sz w:val="15"/>
              </w:rPr>
              <w:t>Inspect the target repository, existing architecture, AGENTS.md instructions, deployment environment and available credentials before choosing implementation.</w:t>
            </w:r>
          </w:p>
        </w:tc>
        <w:tc>
          <w:tcPr>
            <w:tcW w:type="dxa" w:w="3060"/>
            <w:vAlign w:val="top"/>
            <w:tcMar>
              <w:top w:w="90" w:type="dxa"/>
              <w:start w:w="120" w:type="dxa"/>
              <w:bottom w:w="90" w:type="dxa"/>
              <w:end w:w="120" w:type="dxa"/>
            </w:tcMar>
          </w:tcPr>
          <w:p>
            <w:pPr>
              <w:spacing w:after="0" w:line="250" w:lineRule="auto"/>
            </w:pPr>
            <w:r/>
            <w:r>
              <w:rPr>
                <w:rFonts w:ascii="Aptos" w:hAnsi="Aptos"/>
                <w:b w:val="0"/>
                <w:color w:val="1D2433"/>
                <w:sz w:val="15"/>
              </w:rPr>
              <w:t>Inspection summary and decision log exist.</w:t>
            </w:r>
          </w:p>
        </w:tc>
      </w:tr>
      <w:tr>
        <w:tc>
          <w:tcPr>
            <w:tcW w:type="dxa" w:w="8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AGT-002</w:t>
            </w:r>
          </w:p>
        </w:tc>
        <w:tc>
          <w:tcPr>
            <w:tcW w:type="dxa" w:w="54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Create a requirements traceability manifest for every requirement ID.</w:t>
            </w:r>
          </w:p>
        </w:tc>
        <w:tc>
          <w:tcPr>
            <w:tcW w:type="dxa" w:w="30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Machine-readable manifest has no unowned requirement.</w:t>
            </w:r>
          </w:p>
        </w:tc>
      </w:tr>
      <w:tr>
        <w:tc>
          <w:tcPr>
            <w:tcW w:type="dxa" w:w="850"/>
            <w:vAlign w:val="top"/>
            <w:tcMar>
              <w:top w:w="90" w:type="dxa"/>
              <w:start w:w="120" w:type="dxa"/>
              <w:bottom w:w="90" w:type="dxa"/>
              <w:end w:w="120" w:type="dxa"/>
            </w:tcMar>
          </w:tcPr>
          <w:p>
            <w:pPr>
              <w:spacing w:after="0" w:line="250" w:lineRule="auto"/>
            </w:pPr>
            <w:r/>
            <w:r>
              <w:rPr>
                <w:rFonts w:ascii="Aptos" w:hAnsi="Aptos"/>
                <w:b w:val="0"/>
                <w:color w:val="1D2433"/>
                <w:sz w:val="15"/>
              </w:rPr>
              <w:t>AGT-003</w:t>
            </w:r>
          </w:p>
        </w:tc>
        <w:tc>
          <w:tcPr>
            <w:tcW w:type="dxa" w:w="5450"/>
            <w:vAlign w:val="top"/>
            <w:tcMar>
              <w:top w:w="90" w:type="dxa"/>
              <w:start w:w="120" w:type="dxa"/>
              <w:bottom w:w="90" w:type="dxa"/>
              <w:end w:w="120" w:type="dxa"/>
            </w:tcMar>
          </w:tcPr>
          <w:p>
            <w:pPr>
              <w:spacing w:after="0" w:line="250" w:lineRule="auto"/>
            </w:pPr>
            <w:r/>
            <w:r>
              <w:rPr>
                <w:rFonts w:ascii="Aptos" w:hAnsi="Aptos"/>
                <w:b w:val="0"/>
                <w:color w:val="1D2433"/>
                <w:sz w:val="15"/>
              </w:rPr>
              <w:t>Implement thin vertical slices only as an internal tactic; final delivery contains the complete system.</w:t>
            </w:r>
          </w:p>
        </w:tc>
        <w:tc>
          <w:tcPr>
            <w:tcW w:type="dxa" w:w="3060"/>
            <w:vAlign w:val="top"/>
            <w:tcMar>
              <w:top w:w="90" w:type="dxa"/>
              <w:start w:w="120" w:type="dxa"/>
              <w:bottom w:w="90" w:type="dxa"/>
              <w:end w:w="120" w:type="dxa"/>
            </w:tcMar>
          </w:tcPr>
          <w:p>
            <w:pPr>
              <w:spacing w:after="0" w:line="250" w:lineRule="auto"/>
            </w:pPr>
            <w:r/>
            <w:r>
              <w:rPr>
                <w:rFonts w:ascii="Aptos" w:hAnsi="Aptos"/>
                <w:b w:val="0"/>
                <w:color w:val="1D2433"/>
                <w:sz w:val="15"/>
              </w:rPr>
              <w:t>No production requirement marked “future”, “stub” or “TODO”.</w:t>
            </w:r>
          </w:p>
        </w:tc>
      </w:tr>
      <w:tr>
        <w:tc>
          <w:tcPr>
            <w:tcW w:type="dxa" w:w="8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AGT-004</w:t>
            </w:r>
          </w:p>
        </w:tc>
        <w:tc>
          <w:tcPr>
            <w:tcW w:type="dxa" w:w="54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Do not simulate success for unavailable external services; provide real adapter, sandbox proof and explicit credential/contract readiness check.</w:t>
            </w:r>
          </w:p>
        </w:tc>
        <w:tc>
          <w:tcPr>
            <w:tcW w:type="dxa" w:w="30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Provider readiness report distinguishes verified vs blocked external authority.</w:t>
            </w:r>
          </w:p>
        </w:tc>
      </w:tr>
      <w:tr>
        <w:tc>
          <w:tcPr>
            <w:tcW w:type="dxa" w:w="850"/>
            <w:vAlign w:val="top"/>
            <w:tcMar>
              <w:top w:w="90" w:type="dxa"/>
              <w:start w:w="120" w:type="dxa"/>
              <w:bottom w:w="90" w:type="dxa"/>
              <w:end w:w="120" w:type="dxa"/>
            </w:tcMar>
          </w:tcPr>
          <w:p>
            <w:pPr>
              <w:spacing w:after="0" w:line="250" w:lineRule="auto"/>
            </w:pPr>
            <w:r/>
            <w:r>
              <w:rPr>
                <w:rFonts w:ascii="Aptos" w:hAnsi="Aptos"/>
                <w:b w:val="0"/>
                <w:color w:val="1D2433"/>
                <w:sz w:val="15"/>
              </w:rPr>
              <w:t>AGT-005</w:t>
            </w:r>
          </w:p>
        </w:tc>
        <w:tc>
          <w:tcPr>
            <w:tcW w:type="dxa" w:w="5450"/>
            <w:vAlign w:val="top"/>
            <w:tcMar>
              <w:top w:w="90" w:type="dxa"/>
              <w:start w:w="120" w:type="dxa"/>
              <w:bottom w:w="90" w:type="dxa"/>
              <w:end w:w="120" w:type="dxa"/>
            </w:tcMar>
          </w:tcPr>
          <w:p>
            <w:pPr>
              <w:spacing w:after="0" w:line="250" w:lineRule="auto"/>
            </w:pPr>
            <w:r/>
            <w:r>
              <w:rPr>
                <w:rFonts w:ascii="Aptos" w:hAnsi="Aptos"/>
                <w:b w:val="0"/>
                <w:color w:val="1D2433"/>
                <w:sz w:val="15"/>
              </w:rPr>
              <w:t>Continuously run format, static analysis, tests, security scans, migrations and end-to-end checks; repair failures before completion.</w:t>
            </w:r>
          </w:p>
        </w:tc>
        <w:tc>
          <w:tcPr>
            <w:tcW w:type="dxa" w:w="3060"/>
            <w:vAlign w:val="top"/>
            <w:tcMar>
              <w:top w:w="90" w:type="dxa"/>
              <w:start w:w="120" w:type="dxa"/>
              <w:bottom w:w="90" w:type="dxa"/>
              <w:end w:w="120" w:type="dxa"/>
            </w:tcMar>
          </w:tcPr>
          <w:p>
            <w:pPr>
              <w:spacing w:after="0" w:line="250" w:lineRule="auto"/>
            </w:pPr>
            <w:r/>
            <w:r>
              <w:rPr>
                <w:rFonts w:ascii="Aptos" w:hAnsi="Aptos"/>
                <w:b w:val="0"/>
                <w:color w:val="1D2433"/>
                <w:sz w:val="15"/>
              </w:rPr>
              <w:t>Final CI/release evidence is green.</w:t>
            </w:r>
          </w:p>
        </w:tc>
      </w:tr>
      <w:tr>
        <w:tc>
          <w:tcPr>
            <w:tcW w:type="dxa" w:w="8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AGT-006</w:t>
            </w:r>
          </w:p>
        </w:tc>
        <w:tc>
          <w:tcPr>
            <w:tcW w:type="dxa" w:w="54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Generate architecture, API, event, schema, deployment and runbook documentation from authoritative sources where possible.</w:t>
            </w:r>
          </w:p>
        </w:tc>
        <w:tc>
          <w:tcPr>
            <w:tcW w:type="dxa" w:w="30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Docs match deployed interfaces and automated drift checks pass.</w:t>
            </w:r>
          </w:p>
        </w:tc>
      </w:tr>
      <w:tr>
        <w:tc>
          <w:tcPr>
            <w:tcW w:type="dxa" w:w="850"/>
            <w:vAlign w:val="top"/>
            <w:tcMar>
              <w:top w:w="90" w:type="dxa"/>
              <w:start w:w="120" w:type="dxa"/>
              <w:bottom w:w="90" w:type="dxa"/>
              <w:end w:w="120" w:type="dxa"/>
            </w:tcMar>
          </w:tcPr>
          <w:p>
            <w:pPr>
              <w:spacing w:after="0" w:line="250" w:lineRule="auto"/>
            </w:pPr>
            <w:r/>
            <w:r>
              <w:rPr>
                <w:rFonts w:ascii="Aptos" w:hAnsi="Aptos"/>
                <w:b w:val="0"/>
                <w:color w:val="1D2433"/>
                <w:sz w:val="15"/>
              </w:rPr>
              <w:t>AGT-007</w:t>
            </w:r>
          </w:p>
        </w:tc>
        <w:tc>
          <w:tcPr>
            <w:tcW w:type="dxa" w:w="5450"/>
            <w:vAlign w:val="top"/>
            <w:tcMar>
              <w:top w:w="90" w:type="dxa"/>
              <w:start w:w="120" w:type="dxa"/>
              <w:bottom w:w="90" w:type="dxa"/>
              <w:end w:w="120" w:type="dxa"/>
            </w:tcMar>
          </w:tcPr>
          <w:p>
            <w:pPr>
              <w:spacing w:after="0" w:line="250" w:lineRule="auto"/>
            </w:pPr>
            <w:r/>
            <w:r>
              <w:rPr>
                <w:rFonts w:ascii="Aptos" w:hAnsi="Aptos"/>
                <w:b w:val="0"/>
                <w:color w:val="1D2433"/>
                <w:sz w:val="15"/>
              </w:rPr>
              <w:t>Never weaken security, privacy, ledger or audit controls to make tests pass.</w:t>
            </w:r>
          </w:p>
        </w:tc>
        <w:tc>
          <w:tcPr>
            <w:tcW w:type="dxa" w:w="3060"/>
            <w:vAlign w:val="top"/>
            <w:tcMar>
              <w:top w:w="90" w:type="dxa"/>
              <w:start w:w="120" w:type="dxa"/>
              <w:bottom w:w="90" w:type="dxa"/>
              <w:end w:w="120" w:type="dxa"/>
            </w:tcMar>
          </w:tcPr>
          <w:p>
            <w:pPr>
              <w:spacing w:after="0" w:line="250" w:lineRule="auto"/>
            </w:pPr>
            <w:r/>
            <w:r>
              <w:rPr>
                <w:rFonts w:ascii="Aptos" w:hAnsi="Aptos"/>
                <w:b w:val="0"/>
                <w:color w:val="1D2433"/>
                <w:sz w:val="15"/>
              </w:rPr>
              <w:t>Review shows no bypass flags or production mocks.</w:t>
            </w:r>
          </w:p>
        </w:tc>
      </w:tr>
      <w:tr>
        <w:tc>
          <w:tcPr>
            <w:tcW w:type="dxa" w:w="8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AGT-008</w:t>
            </w:r>
          </w:p>
        </w:tc>
        <w:tc>
          <w:tcPr>
            <w:tcW w:type="dxa" w:w="5450"/>
            <w:vAlign w:val="top"/>
            <w:shd w:fill="F6F8FB"/>
            <w:tcMar>
              <w:top w:w="90" w:type="dxa"/>
              <w:start w:w="120" w:type="dxa"/>
              <w:bottom w:w="90" w:type="dxa"/>
              <w:end w:w="120" w:type="dxa"/>
            </w:tcMar>
          </w:tcPr>
          <w:p>
            <w:pPr>
              <w:spacing w:after="0" w:line="250" w:lineRule="auto"/>
            </w:pPr>
            <w:r/>
            <w:r>
              <w:rPr>
                <w:rFonts w:ascii="Aptos" w:hAnsi="Aptos"/>
                <w:b w:val="0"/>
                <w:color w:val="1D2433"/>
                <w:sz w:val="15"/>
              </w:rPr>
              <w:t>Stop only at a defined acceptance gate or explicit external-authority blocker; report exact evidence and required owner action.</w:t>
            </w:r>
          </w:p>
        </w:tc>
        <w:tc>
          <w:tcPr>
            <w:tcW w:type="dxa" w:w="30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Final handoff contains signed checklist and blocker taxonomy.</w:t>
            </w:r>
          </w:p>
        </w:tc>
      </w:tr>
    </w:tbl>
    <w:p>
      <w:pPr>
        <w:spacing w:after="20"/>
      </w:pPr>
    </w:p>
    <w:p>
      <w:pPr>
        <w:pStyle w:val="Heading1"/>
        <w:keepNext/>
      </w:pPr>
      <w:r>
        <w:t>26. Risks and mitigations</w:t>
      </w:r>
    </w:p>
    <w:tbl>
      <w:tblPr>
        <w:tblStyle w:val="TableGrid"/>
        <w:tblW w:type="dxa" w:w="9360"/>
        <w:jc w:val="left"/>
        <w:tblLayout w:type="fixed"/>
        <w:tblLook w:firstColumn="1" w:firstRow="1" w:lastColumn="0" w:lastRow="0" w:noHBand="0" w:noVBand="1" w:val="04A0"/>
        <w:tblInd w:w="120" w:type="dxa"/>
      </w:tblPr>
      <w:tblGrid>
        <w:gridCol w:w="2150"/>
        <w:gridCol w:w="2600"/>
        <w:gridCol w:w="4610"/>
      </w:tblGrid>
      <w:tr>
        <w:trPr>
          <w:tblHeader w:val="true"/>
        </w:trPr>
        <w:tc>
          <w:tcPr>
            <w:tcW w:type="dxa" w:w="2150"/>
            <w:vAlign w:val="center"/>
            <w:shd w:fill="0B2545"/>
            <w:tcMar>
              <w:top w:w="90" w:type="dxa"/>
              <w:start w:w="120" w:type="dxa"/>
              <w:bottom w:w="90" w:type="dxa"/>
              <w:end w:w="120" w:type="dxa"/>
            </w:tcMar>
          </w:tcPr>
          <w:p>
            <w:pPr>
              <w:spacing w:after="0"/>
            </w:pPr>
            <w:r/>
            <w:r>
              <w:rPr>
                <w:rFonts w:ascii="Aptos" w:hAnsi="Aptos"/>
                <w:b/>
                <w:color w:val="FFFFFF"/>
                <w:sz w:val="14"/>
              </w:rPr>
              <w:t>Risk</w:t>
            </w:r>
          </w:p>
        </w:tc>
        <w:tc>
          <w:tcPr>
            <w:tcW w:type="dxa" w:w="2600"/>
            <w:shd w:fill="0B2545"/>
            <w:tcMar>
              <w:top w:w="90" w:type="dxa"/>
              <w:start w:w="120" w:type="dxa"/>
              <w:bottom w:w="90" w:type="dxa"/>
              <w:end w:w="120" w:type="dxa"/>
            </w:tcMar>
          </w:tcPr>
          <w:p>
            <w:pPr>
              <w:spacing w:after="0"/>
            </w:pPr>
            <w:r/>
            <w:r>
              <w:rPr>
                <w:rFonts w:ascii="Aptos" w:hAnsi="Aptos"/>
                <w:b/>
                <w:color w:val="FFFFFF"/>
                <w:sz w:val="14"/>
              </w:rPr>
              <w:t>Impact</w:t>
            </w:r>
          </w:p>
        </w:tc>
        <w:tc>
          <w:tcPr>
            <w:tcW w:type="dxa" w:w="4610"/>
            <w:shd w:fill="0B2545"/>
            <w:tcMar>
              <w:top w:w="90" w:type="dxa"/>
              <w:start w:w="120" w:type="dxa"/>
              <w:bottom w:w="90" w:type="dxa"/>
              <w:end w:w="120" w:type="dxa"/>
            </w:tcMar>
          </w:tcPr>
          <w:p>
            <w:pPr>
              <w:spacing w:after="0"/>
            </w:pPr>
            <w:r/>
            <w:r>
              <w:rPr>
                <w:rFonts w:ascii="Aptos" w:hAnsi="Aptos"/>
                <w:b/>
                <w:color w:val="FFFFFF"/>
                <w:sz w:val="14"/>
              </w:rPr>
              <w:t>Mitigation/required control</w:t>
            </w:r>
          </w:p>
        </w:tc>
      </w:tr>
      <w:tr>
        <w:tc>
          <w:tcPr>
            <w:tcW w:type="dxa" w:w="2150"/>
            <w:vAlign w:val="top"/>
            <w:tcMar>
              <w:top w:w="90" w:type="dxa"/>
              <w:start w:w="120" w:type="dxa"/>
              <w:bottom w:w="90" w:type="dxa"/>
              <w:end w:w="120" w:type="dxa"/>
            </w:tcMar>
          </w:tcPr>
          <w:p>
            <w:pPr>
              <w:spacing w:after="0" w:line="250" w:lineRule="auto"/>
            </w:pPr>
            <w:r/>
            <w:r>
              <w:rPr>
                <w:rFonts w:ascii="Aptos" w:hAnsi="Aptos"/>
                <w:b w:val="0"/>
                <w:color w:val="1D2433"/>
                <w:sz w:val="14"/>
              </w:rPr>
              <w:t>Undocumented AppyBook capability</w:t>
            </w:r>
          </w:p>
        </w:tc>
        <w:tc>
          <w:tcPr>
            <w:tcW w:type="dxa" w:w="2600"/>
            <w:vAlign w:val="top"/>
            <w:tcMar>
              <w:top w:w="90" w:type="dxa"/>
              <w:start w:w="120" w:type="dxa"/>
              <w:bottom w:w="90" w:type="dxa"/>
              <w:end w:w="120" w:type="dxa"/>
            </w:tcMar>
          </w:tcPr>
          <w:p>
            <w:pPr>
              <w:spacing w:after="0" w:line="250" w:lineRule="auto"/>
            </w:pPr>
            <w:r/>
            <w:r>
              <w:rPr>
                <w:rFonts w:ascii="Aptos" w:hAnsi="Aptos"/>
                <w:b w:val="0"/>
                <w:color w:val="1D2433"/>
                <w:sz w:val="14"/>
              </w:rPr>
              <w:t>Automation gaps or brittle integration.</w:t>
            </w:r>
          </w:p>
        </w:tc>
        <w:tc>
          <w:tcPr>
            <w:tcW w:type="dxa" w:w="4610"/>
            <w:vAlign w:val="top"/>
            <w:tcMar>
              <w:top w:w="90" w:type="dxa"/>
              <w:start w:w="120" w:type="dxa"/>
              <w:bottom w:w="90" w:type="dxa"/>
              <w:end w:w="120" w:type="dxa"/>
            </w:tcMar>
          </w:tcPr>
          <w:p>
            <w:pPr>
              <w:spacing w:after="0" w:line="250" w:lineRule="auto"/>
            </w:pPr>
            <w:r/>
            <w:r>
              <w:rPr>
                <w:rFonts w:ascii="Aptos" w:hAnsi="Aptos"/>
                <w:b w:val="0"/>
                <w:color w:val="1D2433"/>
                <w:sz w:val="14"/>
              </w:rPr>
              <w:t>Provider engagement; adapter modes; secure import; reconciliation; never scrape authenticated UI.</w:t>
            </w:r>
          </w:p>
        </w:tc>
      </w:tr>
      <w:tr>
        <w:tc>
          <w:tcPr>
            <w:tcW w:type="dxa" w:w="2150"/>
            <w:vAlign w:val="top"/>
            <w:shd w:fill="F6F8FB"/>
            <w:tcMar>
              <w:top w:w="90" w:type="dxa"/>
              <w:start w:w="120" w:type="dxa"/>
              <w:bottom w:w="90" w:type="dxa"/>
              <w:end w:w="120" w:type="dxa"/>
            </w:tcMar>
          </w:tcPr>
          <w:p>
            <w:pPr>
              <w:spacing w:after="0" w:line="250" w:lineRule="auto"/>
            </w:pPr>
            <w:r/>
            <w:r>
              <w:rPr>
                <w:rFonts w:ascii="Aptos" w:hAnsi="Aptos"/>
                <w:b w:val="0"/>
                <w:color w:val="1D2433"/>
                <w:sz w:val="14"/>
              </w:rPr>
              <w:t>POS fragmentation</w:t>
            </w:r>
          </w:p>
        </w:tc>
        <w:tc>
          <w:tcPr>
            <w:tcW w:type="dxa" w:w="2600"/>
            <w:vAlign w:val="top"/>
            <w:shd w:fill="F6F8FB"/>
            <w:tcMar>
              <w:top w:w="90" w:type="dxa"/>
              <w:start w:w="120" w:type="dxa"/>
              <w:bottom w:w="90" w:type="dxa"/>
              <w:end w:w="120" w:type="dxa"/>
            </w:tcMar>
          </w:tcPr>
          <w:p>
            <w:pPr>
              <w:spacing w:after="0" w:line="250" w:lineRule="auto"/>
            </w:pPr>
            <w:r/>
            <w:r>
              <w:rPr>
                <w:rFonts w:ascii="Aptos" w:hAnsi="Aptos"/>
                <w:b w:val="0"/>
                <w:color w:val="1D2433"/>
                <w:sz w:val="14"/>
              </w:rPr>
              <w:t>Manual attribution and staff burden.</w:t>
            </w:r>
          </w:p>
        </w:tc>
        <w:tc>
          <w:tcPr>
            <w:tcW w:type="dxa" w:w="4610"/>
            <w:vAlign w:val="top"/>
            <w:shd w:fill="F6F8FB"/>
            <w:tcMar>
              <w:top w:w="90" w:type="dxa"/>
              <w:start w:w="120" w:type="dxa"/>
              <w:bottom w:w="90" w:type="dxa"/>
              <w:end w:w="120" w:type="dxa"/>
            </w:tcMar>
          </w:tcPr>
          <w:p>
            <w:pPr>
              <w:spacing w:after="0" w:line="250" w:lineRule="auto"/>
            </w:pPr>
            <w:r/>
            <w:r>
              <w:rPr>
                <w:rFonts w:ascii="Aptos" w:hAnsi="Aptos"/>
                <w:b w:val="0"/>
                <w:color w:val="1D2433"/>
                <w:sz w:val="14"/>
              </w:rPr>
              <w:t>Canonical POS contract, member-before-payment flow, bounded scanner fallback and daily reconciliation.</w:t>
            </w:r>
          </w:p>
        </w:tc>
      </w:tr>
      <w:tr>
        <w:tc>
          <w:tcPr>
            <w:tcW w:type="dxa" w:w="2150"/>
            <w:vAlign w:val="top"/>
            <w:tcMar>
              <w:top w:w="90" w:type="dxa"/>
              <w:start w:w="120" w:type="dxa"/>
              <w:bottom w:w="90" w:type="dxa"/>
              <w:end w:w="120" w:type="dxa"/>
            </w:tcMar>
          </w:tcPr>
          <w:p>
            <w:pPr>
              <w:spacing w:after="0" w:line="250" w:lineRule="auto"/>
            </w:pPr>
            <w:r/>
            <w:r>
              <w:rPr>
                <w:rFonts w:ascii="Aptos" w:hAnsi="Aptos"/>
                <w:b w:val="0"/>
                <w:color w:val="1D2433"/>
                <w:sz w:val="14"/>
              </w:rPr>
              <w:t>Over-generous economics</w:t>
            </w:r>
          </w:p>
        </w:tc>
        <w:tc>
          <w:tcPr>
            <w:tcW w:type="dxa" w:w="2600"/>
            <w:vAlign w:val="top"/>
            <w:tcMar>
              <w:top w:w="90" w:type="dxa"/>
              <w:start w:w="120" w:type="dxa"/>
              <w:bottom w:w="90" w:type="dxa"/>
              <w:end w:w="120" w:type="dxa"/>
            </w:tcMar>
          </w:tcPr>
          <w:p>
            <w:pPr>
              <w:spacing w:after="0" w:line="250" w:lineRule="auto"/>
            </w:pPr>
            <w:r/>
            <w:r>
              <w:rPr>
                <w:rFonts w:ascii="Aptos" w:hAnsi="Aptos"/>
                <w:b w:val="0"/>
                <w:color w:val="1D2433"/>
                <w:sz w:val="14"/>
              </w:rPr>
              <w:t>Margin erosion and reward liability.</w:t>
            </w:r>
          </w:p>
        </w:tc>
        <w:tc>
          <w:tcPr>
            <w:tcW w:type="dxa" w:w="4610"/>
            <w:vAlign w:val="top"/>
            <w:tcMar>
              <w:top w:w="90" w:type="dxa"/>
              <w:start w:w="120" w:type="dxa"/>
              <w:bottom w:w="90" w:type="dxa"/>
              <w:end w:w="120" w:type="dxa"/>
            </w:tcMar>
          </w:tcPr>
          <w:p>
            <w:pPr>
              <w:spacing w:after="0" w:line="250" w:lineRule="auto"/>
            </w:pPr>
            <w:r/>
            <w:r>
              <w:rPr>
                <w:rFonts w:ascii="Aptos" w:hAnsi="Aptos"/>
                <w:b w:val="0"/>
                <w:color w:val="1D2433"/>
                <w:sz w:val="14"/>
              </w:rPr>
              <w:t>Simulation, budgets, caps, approval, contribution reporting and emergency disable.</w:t>
            </w:r>
          </w:p>
        </w:tc>
      </w:tr>
      <w:tr>
        <w:tc>
          <w:tcPr>
            <w:tcW w:type="dxa" w:w="2150"/>
            <w:vAlign w:val="top"/>
            <w:shd w:fill="F6F8FB"/>
            <w:tcMar>
              <w:top w:w="90" w:type="dxa"/>
              <w:start w:w="120" w:type="dxa"/>
              <w:bottom w:w="90" w:type="dxa"/>
              <w:end w:w="120" w:type="dxa"/>
            </w:tcMar>
          </w:tcPr>
          <w:p>
            <w:pPr>
              <w:spacing w:after="0" w:line="250" w:lineRule="auto"/>
            </w:pPr>
            <w:r/>
            <w:r>
              <w:rPr>
                <w:rFonts w:ascii="Aptos" w:hAnsi="Aptos"/>
                <w:b w:val="0"/>
                <w:color w:val="1D2433"/>
                <w:sz w:val="14"/>
              </w:rPr>
              <w:t>Staff non-adoption</w:t>
            </w:r>
          </w:p>
        </w:tc>
        <w:tc>
          <w:tcPr>
            <w:tcW w:type="dxa" w:w="2600"/>
            <w:vAlign w:val="top"/>
            <w:shd w:fill="F6F8FB"/>
            <w:tcMar>
              <w:top w:w="90" w:type="dxa"/>
              <w:start w:w="120" w:type="dxa"/>
              <w:bottom w:w="90" w:type="dxa"/>
              <w:end w:w="120" w:type="dxa"/>
            </w:tcMar>
          </w:tcPr>
          <w:p>
            <w:pPr>
              <w:spacing w:after="0" w:line="250" w:lineRule="auto"/>
            </w:pPr>
            <w:r/>
            <w:r>
              <w:rPr>
                <w:rFonts w:ascii="Aptos" w:hAnsi="Aptos"/>
                <w:b w:val="0"/>
                <w:color w:val="1D2433"/>
                <w:sz w:val="14"/>
              </w:rPr>
              <w:t>Low identification and incomplete data.</w:t>
            </w:r>
          </w:p>
        </w:tc>
        <w:tc>
          <w:tcPr>
            <w:tcW w:type="dxa" w:w="4610"/>
            <w:vAlign w:val="top"/>
            <w:shd w:fill="F6F8FB"/>
            <w:tcMar>
              <w:top w:w="90" w:type="dxa"/>
              <w:start w:w="120" w:type="dxa"/>
              <w:bottom w:w="90" w:type="dxa"/>
              <w:end w:w="120" w:type="dxa"/>
            </w:tcMar>
          </w:tcPr>
          <w:p>
            <w:pPr>
              <w:spacing w:after="0" w:line="250" w:lineRule="auto"/>
            </w:pPr>
            <w:r/>
            <w:r>
              <w:rPr>
                <w:rFonts w:ascii="Aptos" w:hAnsi="Aptos"/>
                <w:b w:val="0"/>
                <w:color w:val="1D2433"/>
                <w:sz w:val="14"/>
              </w:rPr>
              <w:t>Fast scanner UX, training, park metrics, feedback and workflow integration.</w:t>
            </w:r>
          </w:p>
        </w:tc>
      </w:tr>
      <w:tr>
        <w:tc>
          <w:tcPr>
            <w:tcW w:type="dxa" w:w="2150"/>
            <w:vAlign w:val="top"/>
            <w:tcMar>
              <w:top w:w="90" w:type="dxa"/>
              <w:start w:w="120" w:type="dxa"/>
              <w:bottom w:w="90" w:type="dxa"/>
              <w:end w:w="120" w:type="dxa"/>
            </w:tcMar>
          </w:tcPr>
          <w:p>
            <w:pPr>
              <w:spacing w:after="0" w:line="250" w:lineRule="auto"/>
            </w:pPr>
            <w:r/>
            <w:r>
              <w:rPr>
                <w:rFonts w:ascii="Aptos" w:hAnsi="Aptos"/>
                <w:b w:val="0"/>
                <w:color w:val="1D2433"/>
                <w:sz w:val="14"/>
              </w:rPr>
              <w:t>Duplicate households</w:t>
            </w:r>
          </w:p>
        </w:tc>
        <w:tc>
          <w:tcPr>
            <w:tcW w:type="dxa" w:w="2600"/>
            <w:vAlign w:val="top"/>
            <w:tcMar>
              <w:top w:w="90" w:type="dxa"/>
              <w:start w:w="120" w:type="dxa"/>
              <w:bottom w:w="90" w:type="dxa"/>
              <w:end w:w="120" w:type="dxa"/>
            </w:tcMar>
          </w:tcPr>
          <w:p>
            <w:pPr>
              <w:spacing w:after="0" w:line="250" w:lineRule="auto"/>
            </w:pPr>
            <w:r/>
            <w:r>
              <w:rPr>
                <w:rFonts w:ascii="Aptos" w:hAnsi="Aptos"/>
                <w:b w:val="0"/>
                <w:color w:val="1D2433"/>
                <w:sz w:val="14"/>
              </w:rPr>
              <w:t>Double value and privacy exposure.</w:t>
            </w:r>
          </w:p>
        </w:tc>
        <w:tc>
          <w:tcPr>
            <w:tcW w:type="dxa" w:w="4610"/>
            <w:vAlign w:val="top"/>
            <w:tcMar>
              <w:top w:w="90" w:type="dxa"/>
              <w:start w:w="120" w:type="dxa"/>
              <w:bottom w:w="90" w:type="dxa"/>
              <w:end w:w="120" w:type="dxa"/>
            </w:tcMar>
          </w:tcPr>
          <w:p>
            <w:pPr>
              <w:spacing w:after="0" w:line="250" w:lineRule="auto"/>
            </w:pPr>
            <w:r/>
            <w:r>
              <w:rPr>
                <w:rFonts w:ascii="Aptos" w:hAnsi="Aptos"/>
                <w:b w:val="0"/>
                <w:color w:val="1D2433"/>
                <w:sz w:val="14"/>
              </w:rPr>
              <w:t>Verified uniqueness, privacy-safe matching and reversible merge cases.</w:t>
            </w:r>
          </w:p>
        </w:tc>
      </w:tr>
      <w:tr>
        <w:tc>
          <w:tcPr>
            <w:tcW w:type="dxa" w:w="2150"/>
            <w:vAlign w:val="top"/>
            <w:shd w:fill="F6F8FB"/>
            <w:tcMar>
              <w:top w:w="90" w:type="dxa"/>
              <w:start w:w="120" w:type="dxa"/>
              <w:bottom w:w="90" w:type="dxa"/>
              <w:end w:w="120" w:type="dxa"/>
            </w:tcMar>
          </w:tcPr>
          <w:p>
            <w:pPr>
              <w:spacing w:after="0" w:line="250" w:lineRule="auto"/>
            </w:pPr>
            <w:r/>
            <w:r>
              <w:rPr>
                <w:rFonts w:ascii="Aptos" w:hAnsi="Aptos"/>
                <w:b w:val="0"/>
                <w:color w:val="1D2433"/>
                <w:sz w:val="14"/>
              </w:rPr>
              <w:t>Child-data misuse</w:t>
            </w:r>
          </w:p>
        </w:tc>
        <w:tc>
          <w:tcPr>
            <w:tcW w:type="dxa" w:w="2600"/>
            <w:vAlign w:val="top"/>
            <w:shd w:fill="F6F8FB"/>
            <w:tcMar>
              <w:top w:w="90" w:type="dxa"/>
              <w:start w:w="120" w:type="dxa"/>
              <w:bottom w:w="90" w:type="dxa"/>
              <w:end w:w="120" w:type="dxa"/>
            </w:tcMar>
          </w:tcPr>
          <w:p>
            <w:pPr>
              <w:spacing w:after="0" w:line="250" w:lineRule="auto"/>
            </w:pPr>
            <w:r/>
            <w:r>
              <w:rPr>
                <w:rFonts w:ascii="Aptos" w:hAnsi="Aptos"/>
                <w:b w:val="0"/>
                <w:color w:val="1D2433"/>
                <w:sz w:val="14"/>
              </w:rPr>
              <w:t>Regulatory and trust damage.</w:t>
            </w:r>
          </w:p>
        </w:tc>
        <w:tc>
          <w:tcPr>
            <w:tcW w:type="dxa" w:w="4610"/>
            <w:vAlign w:val="top"/>
            <w:shd w:fill="F6F8FB"/>
            <w:tcMar>
              <w:top w:w="90" w:type="dxa"/>
              <w:start w:w="120" w:type="dxa"/>
              <w:bottom w:w="90" w:type="dxa"/>
              <w:end w:w="120" w:type="dxa"/>
            </w:tcMar>
          </w:tcPr>
          <w:p>
            <w:pPr>
              <w:spacing w:after="0" w:line="250" w:lineRule="auto"/>
            </w:pPr>
            <w:r/>
            <w:r>
              <w:rPr>
                <w:rFonts w:ascii="Aptos" w:hAnsi="Aptos"/>
                <w:b w:val="0"/>
                <w:color w:val="1D2433"/>
                <w:sz w:val="14"/>
              </w:rPr>
              <w:t>Adult control, minimal data, restricted segments/views and DPIA/policy review.</w:t>
            </w:r>
          </w:p>
        </w:tc>
      </w:tr>
      <w:tr>
        <w:tc>
          <w:tcPr>
            <w:tcW w:type="dxa" w:w="2150"/>
            <w:vAlign w:val="top"/>
            <w:tcMar>
              <w:top w:w="90" w:type="dxa"/>
              <w:start w:w="120" w:type="dxa"/>
              <w:bottom w:w="90" w:type="dxa"/>
              <w:end w:w="120" w:type="dxa"/>
            </w:tcMar>
          </w:tcPr>
          <w:p>
            <w:pPr>
              <w:spacing w:after="0" w:line="250" w:lineRule="auto"/>
            </w:pPr>
            <w:r/>
            <w:r>
              <w:rPr>
                <w:rFonts w:ascii="Aptos" w:hAnsi="Aptos"/>
                <w:b w:val="0"/>
                <w:color w:val="1D2433"/>
                <w:sz w:val="14"/>
              </w:rPr>
              <w:t>Message fatigue</w:t>
            </w:r>
          </w:p>
        </w:tc>
        <w:tc>
          <w:tcPr>
            <w:tcW w:type="dxa" w:w="2600"/>
            <w:vAlign w:val="top"/>
            <w:tcMar>
              <w:top w:w="90" w:type="dxa"/>
              <w:start w:w="120" w:type="dxa"/>
              <w:bottom w:w="90" w:type="dxa"/>
              <w:end w:w="120" w:type="dxa"/>
            </w:tcMar>
          </w:tcPr>
          <w:p>
            <w:pPr>
              <w:spacing w:after="0" w:line="250" w:lineRule="auto"/>
            </w:pPr>
            <w:r/>
            <w:r>
              <w:rPr>
                <w:rFonts w:ascii="Aptos" w:hAnsi="Aptos"/>
                <w:b w:val="0"/>
                <w:color w:val="1D2433"/>
                <w:sz w:val="14"/>
              </w:rPr>
              <w:t>Unsubscribes, complaints and brand damage.</w:t>
            </w:r>
          </w:p>
        </w:tc>
        <w:tc>
          <w:tcPr>
            <w:tcW w:type="dxa" w:w="4610"/>
            <w:vAlign w:val="top"/>
            <w:tcMar>
              <w:top w:w="90" w:type="dxa"/>
              <w:start w:w="120" w:type="dxa"/>
              <w:bottom w:w="90" w:type="dxa"/>
              <w:end w:w="120" w:type="dxa"/>
            </w:tcMar>
          </w:tcPr>
          <w:p>
            <w:pPr>
              <w:spacing w:after="0" w:line="250" w:lineRule="auto"/>
            </w:pPr>
            <w:r/>
            <w:r>
              <w:rPr>
                <w:rFonts w:ascii="Aptos" w:hAnsi="Aptos"/>
                <w:b w:val="0"/>
                <w:color w:val="1D2433"/>
                <w:sz w:val="14"/>
              </w:rPr>
              <w:t>Purpose consent, caps, priority, quiet hours, suppression and holdouts.</w:t>
            </w:r>
          </w:p>
        </w:tc>
      </w:tr>
      <w:tr>
        <w:tc>
          <w:tcPr>
            <w:tcW w:type="dxa" w:w="2150"/>
            <w:vAlign w:val="top"/>
            <w:shd w:fill="F6F8FB"/>
            <w:tcMar>
              <w:top w:w="90" w:type="dxa"/>
              <w:start w:w="120" w:type="dxa"/>
              <w:bottom w:w="90" w:type="dxa"/>
              <w:end w:w="120" w:type="dxa"/>
            </w:tcMar>
          </w:tcPr>
          <w:p>
            <w:pPr>
              <w:spacing w:after="0" w:line="250" w:lineRule="auto"/>
            </w:pPr>
            <w:r/>
            <w:r>
              <w:rPr>
                <w:rFonts w:ascii="Aptos" w:hAnsi="Aptos"/>
                <w:b w:val="0"/>
                <w:color w:val="1D2433"/>
                <w:sz w:val="14"/>
              </w:rPr>
              <w:t>Wallet/platform constraints</w:t>
            </w:r>
          </w:p>
        </w:tc>
        <w:tc>
          <w:tcPr>
            <w:tcW w:type="dxa" w:w="2600"/>
            <w:vAlign w:val="top"/>
            <w:shd w:fill="F6F8FB"/>
            <w:tcMar>
              <w:top w:w="90" w:type="dxa"/>
              <w:start w:w="120" w:type="dxa"/>
              <w:bottom w:w="90" w:type="dxa"/>
              <w:end w:w="120" w:type="dxa"/>
            </w:tcMar>
          </w:tcPr>
          <w:p>
            <w:pPr>
              <w:spacing w:after="0" w:line="250" w:lineRule="auto"/>
            </w:pPr>
            <w:r/>
            <w:r>
              <w:rPr>
                <w:rFonts w:ascii="Aptos" w:hAnsi="Aptos"/>
                <w:b w:val="0"/>
                <w:color w:val="1D2433"/>
                <w:sz w:val="14"/>
              </w:rPr>
              <w:t>Notifications or updates behave differently across devices.</w:t>
            </w:r>
          </w:p>
        </w:tc>
        <w:tc>
          <w:tcPr>
            <w:tcW w:type="dxa" w:w="4610"/>
            <w:vAlign w:val="top"/>
            <w:shd w:fill="F6F8FB"/>
            <w:tcMar>
              <w:top w:w="90" w:type="dxa"/>
              <w:start w:w="120" w:type="dxa"/>
              <w:bottom w:w="90" w:type="dxa"/>
              <w:end w:w="120" w:type="dxa"/>
            </w:tcMar>
          </w:tcPr>
          <w:p>
            <w:pPr>
              <w:spacing w:after="0" w:line="250" w:lineRule="auto"/>
            </w:pPr>
            <w:r/>
            <w:r>
              <w:rPr>
                <w:rFonts w:ascii="Aptos" w:hAnsi="Aptos"/>
                <w:b w:val="0"/>
                <w:color w:val="1D2433"/>
                <w:sz w:val="14"/>
              </w:rPr>
              <w:t>PWA fallback, capability-aware UI, observability and truthful messaging.</w:t>
            </w:r>
          </w:p>
        </w:tc>
      </w:tr>
      <w:tr>
        <w:tc>
          <w:tcPr>
            <w:tcW w:type="dxa" w:w="2150"/>
            <w:vAlign w:val="top"/>
            <w:tcMar>
              <w:top w:w="90" w:type="dxa"/>
              <w:start w:w="120" w:type="dxa"/>
              <w:bottom w:w="90" w:type="dxa"/>
              <w:end w:w="120" w:type="dxa"/>
            </w:tcMar>
          </w:tcPr>
          <w:p>
            <w:pPr>
              <w:spacing w:after="0" w:line="250" w:lineRule="auto"/>
            </w:pPr>
            <w:r/>
            <w:r>
              <w:rPr>
                <w:rFonts w:ascii="Aptos" w:hAnsi="Aptos"/>
                <w:b w:val="0"/>
                <w:color w:val="1D2433"/>
                <w:sz w:val="14"/>
              </w:rPr>
              <w:t>Agent-generated defects</w:t>
            </w:r>
          </w:p>
        </w:tc>
        <w:tc>
          <w:tcPr>
            <w:tcW w:type="dxa" w:w="2600"/>
            <w:vAlign w:val="top"/>
            <w:tcMar>
              <w:top w:w="90" w:type="dxa"/>
              <w:start w:w="120" w:type="dxa"/>
              <w:bottom w:w="90" w:type="dxa"/>
              <w:end w:w="120" w:type="dxa"/>
            </w:tcMar>
          </w:tcPr>
          <w:p>
            <w:pPr>
              <w:spacing w:after="0" w:line="250" w:lineRule="auto"/>
            </w:pPr>
            <w:r/>
            <w:r>
              <w:rPr>
                <w:rFonts w:ascii="Aptos" w:hAnsi="Aptos"/>
                <w:b w:val="0"/>
                <w:color w:val="1D2433"/>
                <w:sz w:val="14"/>
              </w:rPr>
              <w:t>Silent production weakness despite breadth.</w:t>
            </w:r>
          </w:p>
        </w:tc>
        <w:tc>
          <w:tcPr>
            <w:tcW w:type="dxa" w:w="4610"/>
            <w:vAlign w:val="top"/>
            <w:tcMar>
              <w:top w:w="90" w:type="dxa"/>
              <w:start w:w="120" w:type="dxa"/>
              <w:bottom w:w="90" w:type="dxa"/>
              <w:end w:w="120" w:type="dxa"/>
            </w:tcMar>
          </w:tcPr>
          <w:p>
            <w:pPr>
              <w:spacing w:after="0" w:line="250" w:lineRule="auto"/>
            </w:pPr>
            <w:r/>
            <w:r>
              <w:rPr>
                <w:rFonts w:ascii="Aptos" w:hAnsi="Aptos"/>
                <w:b w:val="0"/>
                <w:color w:val="1D2433"/>
                <w:sz w:val="14"/>
              </w:rPr>
              <w:t>Traceability, executable invariants, independent testing, security review and release gates.</w:t>
            </w:r>
          </w:p>
        </w:tc>
      </w:tr>
      <w:tr>
        <w:tc>
          <w:tcPr>
            <w:tcW w:type="dxa" w:w="2150"/>
            <w:vAlign w:val="top"/>
            <w:shd w:fill="F6F8FB"/>
            <w:tcMar>
              <w:top w:w="90" w:type="dxa"/>
              <w:start w:w="120" w:type="dxa"/>
              <w:bottom w:w="90" w:type="dxa"/>
              <w:end w:w="120" w:type="dxa"/>
            </w:tcMar>
          </w:tcPr>
          <w:p>
            <w:pPr>
              <w:spacing w:after="0" w:line="250" w:lineRule="auto"/>
            </w:pPr>
            <w:r/>
            <w:r>
              <w:rPr>
                <w:rFonts w:ascii="Aptos" w:hAnsi="Aptos"/>
                <w:b w:val="0"/>
                <w:color w:val="1D2433"/>
                <w:sz w:val="14"/>
              </w:rPr>
              <w:t>Single-build scope pressure</w:t>
            </w:r>
          </w:p>
        </w:tc>
        <w:tc>
          <w:tcPr>
            <w:tcW w:type="dxa" w:w="2600"/>
            <w:vAlign w:val="top"/>
            <w:shd w:fill="F6F8FB"/>
            <w:tcMar>
              <w:top w:w="90" w:type="dxa"/>
              <w:start w:w="120" w:type="dxa"/>
              <w:bottom w:w="90" w:type="dxa"/>
              <w:end w:w="120" w:type="dxa"/>
            </w:tcMar>
          </w:tcPr>
          <w:p>
            <w:pPr>
              <w:spacing w:after="0" w:line="250" w:lineRule="auto"/>
            </w:pPr>
            <w:r/>
            <w:r>
              <w:rPr>
                <w:rFonts w:ascii="Aptos" w:hAnsi="Aptos"/>
                <w:b w:val="0"/>
                <w:color w:val="1D2433"/>
                <w:sz w:val="14"/>
              </w:rPr>
              <w:t>Superficial implementation or hidden TODOs.</w:t>
            </w:r>
          </w:p>
        </w:tc>
        <w:tc>
          <w:tcPr>
            <w:tcW w:type="dxa" w:w="4610"/>
            <w:vAlign w:val="top"/>
            <w:shd w:fill="F6F8FB"/>
            <w:tcMar>
              <w:top w:w="90" w:type="dxa"/>
              <w:start w:w="120" w:type="dxa"/>
              <w:bottom w:w="90" w:type="dxa"/>
              <w:end w:w="120" w:type="dxa"/>
            </w:tcMar>
          </w:tcPr>
          <w:p>
            <w:pPr>
              <w:spacing w:after="0" w:line="250" w:lineRule="auto"/>
            </w:pPr>
            <w:r/>
            <w:r>
              <w:rPr>
                <w:rFonts w:ascii="Aptos" w:hAnsi="Aptos"/>
                <w:b w:val="0"/>
                <w:color w:val="1D2433"/>
                <w:sz w:val="14"/>
              </w:rPr>
              <w:t>Complete specifications, modular architecture, parallel verification and zero-stub acceptance.</w:t>
            </w:r>
          </w:p>
        </w:tc>
      </w:tr>
    </w:tbl>
    <w:p>
      <w:pPr>
        <w:spacing w:after="20"/>
      </w:pPr>
    </w:p>
    <w:p>
      <w:pPr>
        <w:pStyle w:val="Heading1"/>
        <w:keepNext/>
      </w:pPr>
      <w:r>
        <w:t>27. Requirement catalogue summary</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val="true"/>
        </w:trPr>
        <w:tc>
          <w:tcPr>
            <w:tcW w:type="dxa" w:w="2800"/>
            <w:vAlign w:val="center"/>
            <w:shd w:fill="0B2545"/>
            <w:tcMar>
              <w:top w:w="90" w:type="dxa"/>
              <w:start w:w="120" w:type="dxa"/>
              <w:bottom w:w="90" w:type="dxa"/>
              <w:end w:w="120" w:type="dxa"/>
            </w:tcMar>
          </w:tcPr>
          <w:p>
            <w:pPr>
              <w:spacing w:after="0"/>
            </w:pPr>
            <w:r/>
            <w:r>
              <w:rPr>
                <w:rFonts w:ascii="Aptos" w:hAnsi="Aptos"/>
                <w:b/>
                <w:color w:val="FFFFFF"/>
                <w:sz w:val="15"/>
              </w:rPr>
              <w:t>Capability</w:t>
            </w:r>
          </w:p>
        </w:tc>
        <w:tc>
          <w:tcPr>
            <w:tcW w:type="dxa" w:w="6560"/>
            <w:shd w:fill="0B2545"/>
            <w:tcMar>
              <w:top w:w="90" w:type="dxa"/>
              <w:start w:w="120" w:type="dxa"/>
              <w:bottom w:w="90" w:type="dxa"/>
              <w:end w:w="120" w:type="dxa"/>
            </w:tcMar>
          </w:tcPr>
          <w:p>
            <w:pPr>
              <w:spacing w:after="0"/>
            </w:pPr>
            <w:r/>
            <w:r>
              <w:rPr>
                <w:rFonts w:ascii="Aptos" w:hAnsi="Aptos"/>
                <w:b/>
                <w:color w:val="FFFFFF"/>
                <w:sz w:val="15"/>
              </w:rPr>
              <w:t>Requirement IDs</w:t>
            </w:r>
          </w:p>
        </w:tc>
      </w:tr>
      <w:tr>
        <w:tc>
          <w:tcPr>
            <w:tcW w:type="dxa" w:w="2800"/>
            <w:vAlign w:val="top"/>
            <w:tcMar>
              <w:top w:w="90" w:type="dxa"/>
              <w:start w:w="120" w:type="dxa"/>
              <w:bottom w:w="90" w:type="dxa"/>
              <w:end w:w="120" w:type="dxa"/>
            </w:tcMar>
          </w:tcPr>
          <w:p>
            <w:pPr>
              <w:spacing w:after="0" w:line="250" w:lineRule="auto"/>
            </w:pPr>
            <w:r/>
            <w:r>
              <w:rPr>
                <w:rFonts w:ascii="Aptos" w:hAnsi="Aptos"/>
                <w:b w:val="0"/>
                <w:color w:val="1D2433"/>
                <w:sz w:val="15"/>
              </w:rPr>
              <w:t>Identity and access</w:t>
            </w:r>
          </w:p>
        </w:tc>
        <w:tc>
          <w:tcPr>
            <w:tcW w:type="dxa" w:w="6560"/>
            <w:vAlign w:val="top"/>
            <w:tcMar>
              <w:top w:w="90" w:type="dxa"/>
              <w:start w:w="120" w:type="dxa"/>
              <w:bottom w:w="90" w:type="dxa"/>
              <w:end w:w="120" w:type="dxa"/>
            </w:tcMar>
          </w:tcPr>
          <w:p>
            <w:pPr>
              <w:spacing w:after="0" w:line="250" w:lineRule="auto"/>
            </w:pPr>
            <w:r/>
            <w:r>
              <w:rPr>
                <w:rFonts w:ascii="Aptos" w:hAnsi="Aptos"/>
                <w:b w:val="0"/>
                <w:color w:val="1D2433"/>
                <w:sz w:val="15"/>
              </w:rPr>
              <w:t>IAM-001–006</w:t>
            </w:r>
          </w:p>
        </w:tc>
      </w:tr>
      <w:tr>
        <w:tc>
          <w:tcPr>
            <w:tcW w:type="dxa" w:w="28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Customer registration</w:t>
            </w:r>
          </w:p>
        </w:tc>
        <w:tc>
          <w:tcPr>
            <w:tcW w:type="dxa" w:w="65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CUS-001–006</w:t>
            </w:r>
          </w:p>
        </w:tc>
      </w:tr>
      <w:tr>
        <w:tc>
          <w:tcPr>
            <w:tcW w:type="dxa" w:w="2800"/>
            <w:vAlign w:val="top"/>
            <w:tcMar>
              <w:top w:w="90" w:type="dxa"/>
              <w:start w:w="120" w:type="dxa"/>
              <w:bottom w:w="90" w:type="dxa"/>
              <w:end w:w="120" w:type="dxa"/>
            </w:tcMar>
          </w:tcPr>
          <w:p>
            <w:pPr>
              <w:spacing w:after="0" w:line="250" w:lineRule="auto"/>
            </w:pPr>
            <w:r/>
            <w:r>
              <w:rPr>
                <w:rFonts w:ascii="Aptos" w:hAnsi="Aptos"/>
                <w:b w:val="0"/>
                <w:color w:val="1D2433"/>
                <w:sz w:val="15"/>
              </w:rPr>
              <w:t>Household</w:t>
            </w:r>
          </w:p>
        </w:tc>
        <w:tc>
          <w:tcPr>
            <w:tcW w:type="dxa" w:w="6560"/>
            <w:vAlign w:val="top"/>
            <w:tcMar>
              <w:top w:w="90" w:type="dxa"/>
              <w:start w:w="120" w:type="dxa"/>
              <w:bottom w:w="90" w:type="dxa"/>
              <w:end w:w="120" w:type="dxa"/>
            </w:tcMar>
          </w:tcPr>
          <w:p>
            <w:pPr>
              <w:spacing w:after="0" w:line="250" w:lineRule="auto"/>
            </w:pPr>
            <w:r/>
            <w:r>
              <w:rPr>
                <w:rFonts w:ascii="Aptos" w:hAnsi="Aptos"/>
                <w:b w:val="0"/>
                <w:color w:val="1D2433"/>
                <w:sz w:val="15"/>
              </w:rPr>
              <w:t>HH-001–005</w:t>
            </w:r>
          </w:p>
        </w:tc>
      </w:tr>
      <w:tr>
        <w:tc>
          <w:tcPr>
            <w:tcW w:type="dxa" w:w="28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Member card</w:t>
            </w:r>
          </w:p>
        </w:tc>
        <w:tc>
          <w:tcPr>
            <w:tcW w:type="dxa" w:w="65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CARD-001–005</w:t>
            </w:r>
          </w:p>
        </w:tc>
      </w:tr>
      <w:tr>
        <w:tc>
          <w:tcPr>
            <w:tcW w:type="dxa" w:w="2800"/>
            <w:vAlign w:val="top"/>
            <w:tcMar>
              <w:top w:w="90" w:type="dxa"/>
              <w:start w:w="120" w:type="dxa"/>
              <w:bottom w:w="90" w:type="dxa"/>
              <w:end w:w="120" w:type="dxa"/>
            </w:tcMar>
          </w:tcPr>
          <w:p>
            <w:pPr>
              <w:spacing w:after="0" w:line="250" w:lineRule="auto"/>
            </w:pPr>
            <w:r/>
            <w:r>
              <w:rPr>
                <w:rFonts w:ascii="Aptos" w:hAnsi="Aptos"/>
                <w:b w:val="0"/>
                <w:color w:val="1D2433"/>
                <w:sz w:val="15"/>
              </w:rPr>
              <w:t>Loyalty/rules</w:t>
            </w:r>
          </w:p>
        </w:tc>
        <w:tc>
          <w:tcPr>
            <w:tcW w:type="dxa" w:w="6560"/>
            <w:vAlign w:val="top"/>
            <w:tcMar>
              <w:top w:w="90" w:type="dxa"/>
              <w:start w:w="120" w:type="dxa"/>
              <w:bottom w:w="90" w:type="dxa"/>
              <w:end w:w="120" w:type="dxa"/>
            </w:tcMar>
          </w:tcPr>
          <w:p>
            <w:pPr>
              <w:spacing w:after="0" w:line="250" w:lineRule="auto"/>
            </w:pPr>
            <w:r/>
            <w:r>
              <w:rPr>
                <w:rFonts w:ascii="Aptos" w:hAnsi="Aptos"/>
                <w:b w:val="0"/>
                <w:color w:val="1D2433"/>
                <w:sz w:val="15"/>
              </w:rPr>
              <w:t>LOY-001–008</w:t>
            </w:r>
          </w:p>
        </w:tc>
      </w:tr>
      <w:tr>
        <w:tc>
          <w:tcPr>
            <w:tcW w:type="dxa" w:w="28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Tiers/gamification</w:t>
            </w:r>
          </w:p>
        </w:tc>
        <w:tc>
          <w:tcPr>
            <w:tcW w:type="dxa" w:w="65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TIER-001–002; GAME-001–003</w:t>
            </w:r>
          </w:p>
        </w:tc>
      </w:tr>
      <w:tr>
        <w:tc>
          <w:tcPr>
            <w:tcW w:type="dxa" w:w="2800"/>
            <w:vAlign w:val="top"/>
            <w:tcMar>
              <w:top w:w="90" w:type="dxa"/>
              <w:start w:w="120" w:type="dxa"/>
              <w:bottom w:w="90" w:type="dxa"/>
              <w:end w:w="120" w:type="dxa"/>
            </w:tcMar>
          </w:tcPr>
          <w:p>
            <w:pPr>
              <w:spacing w:after="0" w:line="250" w:lineRule="auto"/>
            </w:pPr>
            <w:r/>
            <w:r>
              <w:rPr>
                <w:rFonts w:ascii="Aptos" w:hAnsi="Aptos"/>
                <w:b w:val="0"/>
                <w:color w:val="1D2433"/>
                <w:sz w:val="15"/>
              </w:rPr>
              <w:t>Rewards</w:t>
            </w:r>
          </w:p>
        </w:tc>
        <w:tc>
          <w:tcPr>
            <w:tcW w:type="dxa" w:w="6560"/>
            <w:vAlign w:val="top"/>
            <w:tcMar>
              <w:top w:w="90" w:type="dxa"/>
              <w:start w:w="120" w:type="dxa"/>
              <w:bottom w:w="90" w:type="dxa"/>
              <w:end w:w="120" w:type="dxa"/>
            </w:tcMar>
          </w:tcPr>
          <w:p>
            <w:pPr>
              <w:spacing w:after="0" w:line="250" w:lineRule="auto"/>
            </w:pPr>
            <w:r/>
            <w:r>
              <w:rPr>
                <w:rFonts w:ascii="Aptos" w:hAnsi="Aptos"/>
                <w:b w:val="0"/>
                <w:color w:val="1D2433"/>
                <w:sz w:val="15"/>
              </w:rPr>
              <w:t>RWD-001–006</w:t>
            </w:r>
          </w:p>
        </w:tc>
      </w:tr>
      <w:tr>
        <w:tc>
          <w:tcPr>
            <w:tcW w:type="dxa" w:w="28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Gifts/vouchers</w:t>
            </w:r>
          </w:p>
        </w:tc>
        <w:tc>
          <w:tcPr>
            <w:tcW w:type="dxa" w:w="65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GFT-001–006</w:t>
            </w:r>
          </w:p>
        </w:tc>
      </w:tr>
      <w:tr>
        <w:tc>
          <w:tcPr>
            <w:tcW w:type="dxa" w:w="2800"/>
            <w:vAlign w:val="top"/>
            <w:tcMar>
              <w:top w:w="90" w:type="dxa"/>
              <w:start w:w="120" w:type="dxa"/>
              <w:bottom w:w="90" w:type="dxa"/>
              <w:end w:w="120" w:type="dxa"/>
            </w:tcMar>
          </w:tcPr>
          <w:p>
            <w:pPr>
              <w:spacing w:after="0" w:line="250" w:lineRule="auto"/>
            </w:pPr>
            <w:r/>
            <w:r>
              <w:rPr>
                <w:rFonts w:ascii="Aptos" w:hAnsi="Aptos"/>
                <w:b w:val="0"/>
                <w:color w:val="1D2433"/>
                <w:sz w:val="15"/>
              </w:rPr>
              <w:t>Memberships/passes</w:t>
            </w:r>
          </w:p>
        </w:tc>
        <w:tc>
          <w:tcPr>
            <w:tcW w:type="dxa" w:w="6560"/>
            <w:vAlign w:val="top"/>
            <w:tcMar>
              <w:top w:w="90" w:type="dxa"/>
              <w:start w:w="120" w:type="dxa"/>
              <w:bottom w:w="90" w:type="dxa"/>
              <w:end w:w="120" w:type="dxa"/>
            </w:tcMar>
          </w:tcPr>
          <w:p>
            <w:pPr>
              <w:spacing w:after="0" w:line="250" w:lineRule="auto"/>
            </w:pPr>
            <w:r/>
            <w:r>
              <w:rPr>
                <w:rFonts w:ascii="Aptos" w:hAnsi="Aptos"/>
                <w:b w:val="0"/>
                <w:color w:val="1D2433"/>
                <w:sz w:val="15"/>
              </w:rPr>
              <w:t>MEM-001–005</w:t>
            </w:r>
          </w:p>
        </w:tc>
      </w:tr>
      <w:tr>
        <w:tc>
          <w:tcPr>
            <w:tcW w:type="dxa" w:w="28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Referrals</w:t>
            </w:r>
          </w:p>
        </w:tc>
        <w:tc>
          <w:tcPr>
            <w:tcW w:type="dxa" w:w="65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REF-001–005</w:t>
            </w:r>
          </w:p>
        </w:tc>
      </w:tr>
      <w:tr>
        <w:tc>
          <w:tcPr>
            <w:tcW w:type="dxa" w:w="2800"/>
            <w:vAlign w:val="top"/>
            <w:tcMar>
              <w:top w:w="90" w:type="dxa"/>
              <w:start w:w="120" w:type="dxa"/>
              <w:bottom w:w="90" w:type="dxa"/>
              <w:end w:w="120" w:type="dxa"/>
            </w:tcMar>
          </w:tcPr>
          <w:p>
            <w:pPr>
              <w:spacing w:after="0" w:line="250" w:lineRule="auto"/>
            </w:pPr>
            <w:r/>
            <w:r>
              <w:rPr>
                <w:rFonts w:ascii="Aptos" w:hAnsi="Aptos"/>
                <w:b w:val="0"/>
                <w:color w:val="1D2433"/>
                <w:sz w:val="15"/>
              </w:rPr>
              <w:t>Park operations</w:t>
            </w:r>
          </w:p>
        </w:tc>
        <w:tc>
          <w:tcPr>
            <w:tcW w:type="dxa" w:w="6560"/>
            <w:vAlign w:val="top"/>
            <w:tcMar>
              <w:top w:w="90" w:type="dxa"/>
              <w:start w:w="120" w:type="dxa"/>
              <w:bottom w:w="90" w:type="dxa"/>
              <w:end w:w="120" w:type="dxa"/>
            </w:tcMar>
          </w:tcPr>
          <w:p>
            <w:pPr>
              <w:spacing w:after="0" w:line="250" w:lineRule="auto"/>
            </w:pPr>
            <w:r/>
            <w:r>
              <w:rPr>
                <w:rFonts w:ascii="Aptos" w:hAnsi="Aptos"/>
                <w:b w:val="0"/>
                <w:color w:val="1D2433"/>
                <w:sz w:val="15"/>
              </w:rPr>
              <w:t>OPS-001–007</w:t>
            </w:r>
          </w:p>
        </w:tc>
      </w:tr>
      <w:tr>
        <w:tc>
          <w:tcPr>
            <w:tcW w:type="dxa" w:w="28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Segmentation</w:t>
            </w:r>
          </w:p>
        </w:tc>
        <w:tc>
          <w:tcPr>
            <w:tcW w:type="dxa" w:w="65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SEG-001–005</w:t>
            </w:r>
          </w:p>
        </w:tc>
      </w:tr>
      <w:tr>
        <w:tc>
          <w:tcPr>
            <w:tcW w:type="dxa" w:w="2800"/>
            <w:vAlign w:val="top"/>
            <w:tcMar>
              <w:top w:w="90" w:type="dxa"/>
              <w:start w:w="120" w:type="dxa"/>
              <w:bottom w:w="90" w:type="dxa"/>
              <w:end w:w="120" w:type="dxa"/>
            </w:tcMar>
          </w:tcPr>
          <w:p>
            <w:pPr>
              <w:spacing w:after="0" w:line="250" w:lineRule="auto"/>
            </w:pPr>
            <w:r/>
            <w:r>
              <w:rPr>
                <w:rFonts w:ascii="Aptos" w:hAnsi="Aptos"/>
                <w:b w:val="0"/>
                <w:color w:val="1D2433"/>
                <w:sz w:val="15"/>
              </w:rPr>
              <w:t>Communications</w:t>
            </w:r>
          </w:p>
        </w:tc>
        <w:tc>
          <w:tcPr>
            <w:tcW w:type="dxa" w:w="6560"/>
            <w:vAlign w:val="top"/>
            <w:tcMar>
              <w:top w:w="90" w:type="dxa"/>
              <w:start w:w="120" w:type="dxa"/>
              <w:bottom w:w="90" w:type="dxa"/>
              <w:end w:w="120" w:type="dxa"/>
            </w:tcMar>
          </w:tcPr>
          <w:p>
            <w:pPr>
              <w:spacing w:after="0" w:line="250" w:lineRule="auto"/>
            </w:pPr>
            <w:r/>
            <w:r>
              <w:rPr>
                <w:rFonts w:ascii="Aptos" w:hAnsi="Aptos"/>
                <w:b w:val="0"/>
                <w:color w:val="1D2433"/>
                <w:sz w:val="15"/>
              </w:rPr>
              <w:t>COM-001–006</w:t>
            </w:r>
          </w:p>
        </w:tc>
      </w:tr>
      <w:tr>
        <w:tc>
          <w:tcPr>
            <w:tcW w:type="dxa" w:w="28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Integrations</w:t>
            </w:r>
          </w:p>
        </w:tc>
        <w:tc>
          <w:tcPr>
            <w:tcW w:type="dxa" w:w="65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INT-001–005</w:t>
            </w:r>
          </w:p>
        </w:tc>
      </w:tr>
      <w:tr>
        <w:tc>
          <w:tcPr>
            <w:tcW w:type="dxa" w:w="2800"/>
            <w:vAlign w:val="top"/>
            <w:tcMar>
              <w:top w:w="90" w:type="dxa"/>
              <w:start w:w="120" w:type="dxa"/>
              <w:bottom w:w="90" w:type="dxa"/>
              <w:end w:w="120" w:type="dxa"/>
            </w:tcMar>
          </w:tcPr>
          <w:p>
            <w:pPr>
              <w:spacing w:after="0" w:line="250" w:lineRule="auto"/>
            </w:pPr>
            <w:r/>
            <w:r>
              <w:rPr>
                <w:rFonts w:ascii="Aptos" w:hAnsi="Aptos"/>
                <w:b w:val="0"/>
                <w:color w:val="1D2433"/>
                <w:sz w:val="15"/>
              </w:rPr>
              <w:t>Data/analytics</w:t>
            </w:r>
          </w:p>
        </w:tc>
        <w:tc>
          <w:tcPr>
            <w:tcW w:type="dxa" w:w="6560"/>
            <w:vAlign w:val="top"/>
            <w:tcMar>
              <w:top w:w="90" w:type="dxa"/>
              <w:start w:w="120" w:type="dxa"/>
              <w:bottom w:w="90" w:type="dxa"/>
              <w:end w:w="120" w:type="dxa"/>
            </w:tcMar>
          </w:tcPr>
          <w:p>
            <w:pPr>
              <w:spacing w:after="0" w:line="250" w:lineRule="auto"/>
            </w:pPr>
            <w:r/>
            <w:r>
              <w:rPr>
                <w:rFonts w:ascii="Aptos" w:hAnsi="Aptos"/>
                <w:b w:val="0"/>
                <w:color w:val="1D2433"/>
                <w:sz w:val="15"/>
              </w:rPr>
              <w:t>DAT-001–005</w:t>
            </w:r>
          </w:p>
        </w:tc>
      </w:tr>
      <w:tr>
        <w:tc>
          <w:tcPr>
            <w:tcW w:type="dxa" w:w="28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Privacy</w:t>
            </w:r>
          </w:p>
        </w:tc>
        <w:tc>
          <w:tcPr>
            <w:tcW w:type="dxa" w:w="65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PRV-001–005</w:t>
            </w:r>
          </w:p>
        </w:tc>
      </w:tr>
      <w:tr>
        <w:tc>
          <w:tcPr>
            <w:tcW w:type="dxa" w:w="2800"/>
            <w:vAlign w:val="top"/>
            <w:tcMar>
              <w:top w:w="90" w:type="dxa"/>
              <w:start w:w="120" w:type="dxa"/>
              <w:bottom w:w="90" w:type="dxa"/>
              <w:end w:w="120" w:type="dxa"/>
            </w:tcMar>
          </w:tcPr>
          <w:p>
            <w:pPr>
              <w:spacing w:after="0" w:line="250" w:lineRule="auto"/>
            </w:pPr>
            <w:r/>
            <w:r>
              <w:rPr>
                <w:rFonts w:ascii="Aptos" w:hAnsi="Aptos"/>
                <w:b w:val="0"/>
                <w:color w:val="1D2433"/>
                <w:sz w:val="15"/>
              </w:rPr>
              <w:t>Security</w:t>
            </w:r>
          </w:p>
        </w:tc>
        <w:tc>
          <w:tcPr>
            <w:tcW w:type="dxa" w:w="6560"/>
            <w:vAlign w:val="top"/>
            <w:tcMar>
              <w:top w:w="90" w:type="dxa"/>
              <w:start w:w="120" w:type="dxa"/>
              <w:bottom w:w="90" w:type="dxa"/>
              <w:end w:w="120" w:type="dxa"/>
            </w:tcMar>
          </w:tcPr>
          <w:p>
            <w:pPr>
              <w:spacing w:after="0" w:line="250" w:lineRule="auto"/>
            </w:pPr>
            <w:r/>
            <w:r>
              <w:rPr>
                <w:rFonts w:ascii="Aptos" w:hAnsi="Aptos"/>
                <w:b w:val="0"/>
                <w:color w:val="1D2433"/>
                <w:sz w:val="15"/>
              </w:rPr>
              <w:t>SEC-001–008</w:t>
            </w:r>
          </w:p>
        </w:tc>
      </w:tr>
      <w:tr>
        <w:tc>
          <w:tcPr>
            <w:tcW w:type="dxa" w:w="2800"/>
            <w:vAlign w:val="top"/>
            <w:shd w:fill="F6F8FB"/>
            <w:tcMar>
              <w:top w:w="90" w:type="dxa"/>
              <w:start w:w="120" w:type="dxa"/>
              <w:bottom w:w="90" w:type="dxa"/>
              <w:end w:w="120" w:type="dxa"/>
            </w:tcMar>
          </w:tcPr>
          <w:p>
            <w:pPr>
              <w:spacing w:after="0" w:line="250" w:lineRule="auto"/>
            </w:pPr>
            <w:r/>
            <w:r>
              <w:rPr>
                <w:rFonts w:ascii="Aptos" w:hAnsi="Aptos"/>
                <w:b w:val="0"/>
                <w:color w:val="1D2433"/>
                <w:sz w:val="15"/>
              </w:rPr>
              <w:t>Disaster recovery</w:t>
            </w:r>
          </w:p>
        </w:tc>
        <w:tc>
          <w:tcPr>
            <w:tcW w:type="dxa" w:w="6560"/>
            <w:vAlign w:val="top"/>
            <w:shd w:fill="F6F8FB"/>
            <w:tcMar>
              <w:top w:w="90" w:type="dxa"/>
              <w:start w:w="120" w:type="dxa"/>
              <w:bottom w:w="90" w:type="dxa"/>
              <w:end w:w="120" w:type="dxa"/>
            </w:tcMar>
          </w:tcPr>
          <w:p>
            <w:pPr>
              <w:spacing w:after="0" w:line="250" w:lineRule="auto"/>
            </w:pPr>
            <w:r/>
            <w:r>
              <w:rPr>
                <w:rFonts w:ascii="Aptos" w:hAnsi="Aptos"/>
                <w:b w:val="0"/>
                <w:color w:val="1D2433"/>
                <w:sz w:val="15"/>
              </w:rPr>
              <w:t>DR-001–004</w:t>
            </w:r>
          </w:p>
        </w:tc>
      </w:tr>
      <w:tr>
        <w:tc>
          <w:tcPr>
            <w:tcW w:type="dxa" w:w="2800"/>
            <w:vAlign w:val="top"/>
            <w:tcMar>
              <w:top w:w="90" w:type="dxa"/>
              <w:start w:w="120" w:type="dxa"/>
              <w:bottom w:w="90" w:type="dxa"/>
              <w:end w:w="120" w:type="dxa"/>
            </w:tcMar>
          </w:tcPr>
          <w:p>
            <w:pPr>
              <w:spacing w:after="0" w:line="250" w:lineRule="auto"/>
            </w:pPr>
            <w:r/>
            <w:r>
              <w:rPr>
                <w:rFonts w:ascii="Aptos" w:hAnsi="Aptos"/>
                <w:b w:val="0"/>
                <w:color w:val="1D2433"/>
                <w:sz w:val="15"/>
              </w:rPr>
              <w:t>Agentic build</w:t>
            </w:r>
          </w:p>
        </w:tc>
        <w:tc>
          <w:tcPr>
            <w:tcW w:type="dxa" w:w="6560"/>
            <w:vAlign w:val="top"/>
            <w:tcMar>
              <w:top w:w="90" w:type="dxa"/>
              <w:start w:w="120" w:type="dxa"/>
              <w:bottom w:w="90" w:type="dxa"/>
              <w:end w:w="120" w:type="dxa"/>
            </w:tcMar>
          </w:tcPr>
          <w:p>
            <w:pPr>
              <w:spacing w:after="0" w:line="250" w:lineRule="auto"/>
            </w:pPr>
            <w:r/>
            <w:r>
              <w:rPr>
                <w:rFonts w:ascii="Aptos" w:hAnsi="Aptos"/>
                <w:b w:val="0"/>
                <w:color w:val="1D2433"/>
                <w:sz w:val="15"/>
              </w:rPr>
              <w:t>AGT-001–008</w:t>
            </w:r>
          </w:p>
        </w:tc>
      </w:tr>
    </w:tbl>
    <w:p>
      <w:pPr>
        <w:spacing w:after="20"/>
      </w:pPr>
    </w:p>
    <w:p>
      <w:pPr>
        <w:pStyle w:val="Heading1"/>
        <w:keepNext/>
      </w:pPr>
      <w:r>
        <w:t>28. Business configuration that must be approved before activation</w:t>
      </w:r>
    </w:p>
    <w:p>
      <w:r>
        <w:rPr>
          <w:rFonts w:ascii="Aptos" w:hAnsi="Aptos"/>
          <w:b w:val="0"/>
          <w:i w:val="0"/>
          <w:color w:val="1D2433"/>
          <w:sz w:val="19"/>
        </w:rPr>
        <w:t>These are production configuration approvals, not missing product requirements. The system must support and validate them. Safe defaults disable value issuance or outbound marketing until an authorised owner publishes approved values.</w:t>
      </w:r>
    </w:p>
    <w:tbl>
      <w:tblPr>
        <w:tblStyle w:val="TableGrid"/>
        <w:tblW w:type="dxa" w:w="9360"/>
        <w:jc w:val="left"/>
        <w:tblLayout w:type="fixed"/>
        <w:tblLook w:firstColumn="1" w:firstRow="1" w:lastColumn="0" w:lastRow="0" w:noHBand="0" w:noVBand="1" w:val="04A0"/>
        <w:tblInd w:w="120" w:type="dxa"/>
      </w:tblPr>
      <w:tblGrid>
        <w:gridCol w:w="5850"/>
        <w:gridCol w:w="3510"/>
      </w:tblGrid>
      <w:tr>
        <w:trPr>
          <w:tblHeader w:val="true"/>
        </w:trPr>
        <w:tc>
          <w:tcPr>
            <w:tcW w:type="dxa" w:w="5850"/>
            <w:vAlign w:val="center"/>
            <w:shd w:fill="0B2545"/>
            <w:tcMar>
              <w:top w:w="90" w:type="dxa"/>
              <w:start w:w="120" w:type="dxa"/>
              <w:bottom w:w="90" w:type="dxa"/>
              <w:end w:w="120" w:type="dxa"/>
            </w:tcMar>
          </w:tcPr>
          <w:p>
            <w:pPr>
              <w:spacing w:after="0"/>
            </w:pPr>
            <w:r/>
            <w:r>
              <w:rPr>
                <w:rFonts w:ascii="Aptos" w:hAnsi="Aptos"/>
                <w:b/>
                <w:color w:val="FFFFFF"/>
                <w:sz w:val="14"/>
              </w:rPr>
              <w:t>Configuration</w:t>
            </w:r>
          </w:p>
        </w:tc>
        <w:tc>
          <w:tcPr>
            <w:tcW w:type="dxa" w:w="3510"/>
            <w:shd w:fill="0B2545"/>
            <w:tcMar>
              <w:top w:w="90" w:type="dxa"/>
              <w:start w:w="120" w:type="dxa"/>
              <w:bottom w:w="90" w:type="dxa"/>
              <w:end w:w="120" w:type="dxa"/>
            </w:tcMar>
          </w:tcPr>
          <w:p>
            <w:pPr>
              <w:spacing w:after="0"/>
            </w:pPr>
            <w:r/>
            <w:r>
              <w:rPr>
                <w:rFonts w:ascii="Aptos" w:hAnsi="Aptos"/>
                <w:b/>
                <w:color w:val="FFFFFF"/>
                <w:sz w:val="14"/>
              </w:rPr>
              <w:t>Required owner</w:t>
            </w:r>
          </w:p>
        </w:tc>
      </w:tr>
      <w:tr>
        <w:tc>
          <w:tcPr>
            <w:tcW w:type="dxa" w:w="5850"/>
            <w:vAlign w:val="top"/>
            <w:tcMar>
              <w:top w:w="90" w:type="dxa"/>
              <w:start w:w="120" w:type="dxa"/>
              <w:bottom w:w="90" w:type="dxa"/>
              <w:end w:w="120" w:type="dxa"/>
            </w:tcMar>
          </w:tcPr>
          <w:p>
            <w:pPr>
              <w:spacing w:after="0" w:line="250" w:lineRule="auto"/>
            </w:pPr>
            <w:r/>
            <w:r>
              <w:rPr>
                <w:rFonts w:ascii="Aptos" w:hAnsi="Aptos"/>
                <w:b w:val="0"/>
                <w:color w:val="1D2433"/>
                <w:sz w:val="14"/>
              </w:rPr>
              <w:t>Points-per-euro, eligible net amount, rounding and exclusions</w:t>
            </w:r>
          </w:p>
        </w:tc>
        <w:tc>
          <w:tcPr>
            <w:tcW w:type="dxa" w:w="3510"/>
            <w:vAlign w:val="top"/>
            <w:tcMar>
              <w:top w:w="90" w:type="dxa"/>
              <w:start w:w="120" w:type="dxa"/>
              <w:bottom w:w="90" w:type="dxa"/>
              <w:end w:w="120" w:type="dxa"/>
            </w:tcMar>
          </w:tcPr>
          <w:p>
            <w:pPr>
              <w:spacing w:after="0" w:line="250" w:lineRule="auto"/>
            </w:pPr>
            <w:r/>
            <w:r>
              <w:rPr>
                <w:rFonts w:ascii="Aptos" w:hAnsi="Aptos"/>
                <w:b w:val="0"/>
                <w:color w:val="1D2433"/>
                <w:sz w:val="14"/>
              </w:rPr>
              <w:t>Finance + Marketing</w:t>
            </w:r>
          </w:p>
        </w:tc>
      </w:tr>
      <w:tr>
        <w:tc>
          <w:tcPr>
            <w:tcW w:type="dxa" w:w="5850"/>
            <w:vAlign w:val="top"/>
            <w:shd w:fill="F6F8FB"/>
            <w:tcMar>
              <w:top w:w="90" w:type="dxa"/>
              <w:start w:w="120" w:type="dxa"/>
              <w:bottom w:w="90" w:type="dxa"/>
              <w:end w:w="120" w:type="dxa"/>
            </w:tcMar>
          </w:tcPr>
          <w:p>
            <w:pPr>
              <w:spacing w:after="0" w:line="250" w:lineRule="auto"/>
            </w:pPr>
            <w:r/>
            <w:r>
              <w:rPr>
                <w:rFonts w:ascii="Aptos" w:hAnsi="Aptos"/>
                <w:b w:val="0"/>
                <w:color w:val="1D2433"/>
                <w:sz w:val="14"/>
              </w:rPr>
              <w:t>Visit stamps and duplicate/day rules</w:t>
            </w:r>
          </w:p>
        </w:tc>
        <w:tc>
          <w:tcPr>
            <w:tcW w:type="dxa" w:w="3510"/>
            <w:vAlign w:val="top"/>
            <w:shd w:fill="F6F8FB"/>
            <w:tcMar>
              <w:top w:w="90" w:type="dxa"/>
              <w:start w:w="120" w:type="dxa"/>
              <w:bottom w:w="90" w:type="dxa"/>
              <w:end w:w="120" w:type="dxa"/>
            </w:tcMar>
          </w:tcPr>
          <w:p>
            <w:pPr>
              <w:spacing w:after="0" w:line="250" w:lineRule="auto"/>
            </w:pPr>
            <w:r/>
            <w:r>
              <w:rPr>
                <w:rFonts w:ascii="Aptos" w:hAnsi="Aptos"/>
                <w:b w:val="0"/>
                <w:color w:val="1D2433"/>
                <w:sz w:val="14"/>
              </w:rPr>
              <w:t>Operations + Marketing</w:t>
            </w:r>
          </w:p>
        </w:tc>
      </w:tr>
      <w:tr>
        <w:tc>
          <w:tcPr>
            <w:tcW w:type="dxa" w:w="5850"/>
            <w:vAlign w:val="top"/>
            <w:tcMar>
              <w:top w:w="90" w:type="dxa"/>
              <w:start w:w="120" w:type="dxa"/>
              <w:bottom w:w="90" w:type="dxa"/>
              <w:end w:w="120" w:type="dxa"/>
            </w:tcMar>
          </w:tcPr>
          <w:p>
            <w:pPr>
              <w:spacing w:after="0" w:line="250" w:lineRule="auto"/>
            </w:pPr>
            <w:r/>
            <w:r>
              <w:rPr>
                <w:rFonts w:ascii="Aptos" w:hAnsi="Aptos"/>
                <w:b w:val="0"/>
                <w:color w:val="1D2433"/>
                <w:sz w:val="14"/>
              </w:rPr>
              <w:t>Tier names, thresholds, benefits, periods and downgrade policy</w:t>
            </w:r>
          </w:p>
        </w:tc>
        <w:tc>
          <w:tcPr>
            <w:tcW w:type="dxa" w:w="3510"/>
            <w:vAlign w:val="top"/>
            <w:tcMar>
              <w:top w:w="90" w:type="dxa"/>
              <w:start w:w="120" w:type="dxa"/>
              <w:bottom w:w="90" w:type="dxa"/>
              <w:end w:w="120" w:type="dxa"/>
            </w:tcMar>
          </w:tcPr>
          <w:p>
            <w:pPr>
              <w:spacing w:after="0" w:line="250" w:lineRule="auto"/>
            </w:pPr>
            <w:r/>
            <w:r>
              <w:rPr>
                <w:rFonts w:ascii="Aptos" w:hAnsi="Aptos"/>
                <w:b w:val="0"/>
                <w:color w:val="1D2433"/>
                <w:sz w:val="14"/>
              </w:rPr>
              <w:t>Executive + Finance + Marketing</w:t>
            </w:r>
          </w:p>
        </w:tc>
      </w:tr>
      <w:tr>
        <w:tc>
          <w:tcPr>
            <w:tcW w:type="dxa" w:w="5850"/>
            <w:vAlign w:val="top"/>
            <w:shd w:fill="F6F8FB"/>
            <w:tcMar>
              <w:top w:w="90" w:type="dxa"/>
              <w:start w:w="120" w:type="dxa"/>
              <w:bottom w:w="90" w:type="dxa"/>
              <w:end w:w="120" w:type="dxa"/>
            </w:tcMar>
          </w:tcPr>
          <w:p>
            <w:pPr>
              <w:spacing w:after="0" w:line="250" w:lineRule="auto"/>
            </w:pPr>
            <w:r/>
            <w:r>
              <w:rPr>
                <w:rFonts w:ascii="Aptos" w:hAnsi="Aptos"/>
                <w:b w:val="0"/>
                <w:color w:val="1D2433"/>
                <w:sz w:val="14"/>
              </w:rPr>
              <w:t>Reward catalogue, costs, inventory, blackout and capacity rules</w:t>
            </w:r>
          </w:p>
        </w:tc>
        <w:tc>
          <w:tcPr>
            <w:tcW w:type="dxa" w:w="3510"/>
            <w:vAlign w:val="top"/>
            <w:shd w:fill="F6F8FB"/>
            <w:tcMar>
              <w:top w:w="90" w:type="dxa"/>
              <w:start w:w="120" w:type="dxa"/>
              <w:bottom w:w="90" w:type="dxa"/>
              <w:end w:w="120" w:type="dxa"/>
            </w:tcMar>
          </w:tcPr>
          <w:p>
            <w:pPr>
              <w:spacing w:after="0" w:line="250" w:lineRule="auto"/>
            </w:pPr>
            <w:r/>
            <w:r>
              <w:rPr>
                <w:rFonts w:ascii="Aptos" w:hAnsi="Aptos"/>
                <w:b w:val="0"/>
                <w:color w:val="1D2433"/>
                <w:sz w:val="14"/>
              </w:rPr>
              <w:t>Operations + Finance</w:t>
            </w:r>
          </w:p>
        </w:tc>
      </w:tr>
      <w:tr>
        <w:tc>
          <w:tcPr>
            <w:tcW w:type="dxa" w:w="5850"/>
            <w:vAlign w:val="top"/>
            <w:tcMar>
              <w:top w:w="90" w:type="dxa"/>
              <w:start w:w="120" w:type="dxa"/>
              <w:bottom w:w="90" w:type="dxa"/>
              <w:end w:w="120" w:type="dxa"/>
            </w:tcMar>
          </w:tcPr>
          <w:p>
            <w:pPr>
              <w:spacing w:after="0" w:line="250" w:lineRule="auto"/>
            </w:pPr>
            <w:r/>
            <w:r>
              <w:rPr>
                <w:rFonts w:ascii="Aptos" w:hAnsi="Aptos"/>
                <w:b w:val="0"/>
                <w:color w:val="1D2433"/>
                <w:sz w:val="14"/>
              </w:rPr>
              <w:t>Points/reward expiry and advance notices</w:t>
            </w:r>
          </w:p>
        </w:tc>
        <w:tc>
          <w:tcPr>
            <w:tcW w:type="dxa" w:w="3510"/>
            <w:vAlign w:val="top"/>
            <w:tcMar>
              <w:top w:w="90" w:type="dxa"/>
              <w:start w:w="120" w:type="dxa"/>
              <w:bottom w:w="90" w:type="dxa"/>
              <w:end w:w="120" w:type="dxa"/>
            </w:tcMar>
          </w:tcPr>
          <w:p>
            <w:pPr>
              <w:spacing w:after="0" w:line="250" w:lineRule="auto"/>
            </w:pPr>
            <w:r/>
            <w:r>
              <w:rPr>
                <w:rFonts w:ascii="Aptos" w:hAnsi="Aptos"/>
                <w:b w:val="0"/>
                <w:color w:val="1D2433"/>
                <w:sz w:val="14"/>
              </w:rPr>
              <w:t>Legal/Privacy + Finance + Marketing</w:t>
            </w:r>
          </w:p>
        </w:tc>
      </w:tr>
      <w:tr>
        <w:tc>
          <w:tcPr>
            <w:tcW w:type="dxa" w:w="5850"/>
            <w:vAlign w:val="top"/>
            <w:shd w:fill="F6F8FB"/>
            <w:tcMar>
              <w:top w:w="90" w:type="dxa"/>
              <w:start w:w="120" w:type="dxa"/>
              <w:bottom w:w="90" w:type="dxa"/>
              <w:end w:w="120" w:type="dxa"/>
            </w:tcMar>
          </w:tcPr>
          <w:p>
            <w:pPr>
              <w:spacing w:after="0" w:line="250" w:lineRule="auto"/>
            </w:pPr>
            <w:r/>
            <w:r>
              <w:rPr>
                <w:rFonts w:ascii="Aptos" w:hAnsi="Aptos"/>
                <w:b w:val="0"/>
                <w:color w:val="1D2433"/>
                <w:sz w:val="14"/>
              </w:rPr>
              <w:t>Negative balance and refund recovery policy</w:t>
            </w:r>
          </w:p>
        </w:tc>
        <w:tc>
          <w:tcPr>
            <w:tcW w:type="dxa" w:w="3510"/>
            <w:vAlign w:val="top"/>
            <w:shd w:fill="F6F8FB"/>
            <w:tcMar>
              <w:top w:w="90" w:type="dxa"/>
              <w:start w:w="120" w:type="dxa"/>
              <w:bottom w:w="90" w:type="dxa"/>
              <w:end w:w="120" w:type="dxa"/>
            </w:tcMar>
          </w:tcPr>
          <w:p>
            <w:pPr>
              <w:spacing w:after="0" w:line="250" w:lineRule="auto"/>
            </w:pPr>
            <w:r/>
            <w:r>
              <w:rPr>
                <w:rFonts w:ascii="Aptos" w:hAnsi="Aptos"/>
                <w:b w:val="0"/>
                <w:color w:val="1D2433"/>
                <w:sz w:val="14"/>
              </w:rPr>
              <w:t>Finance + Customer Support</w:t>
            </w:r>
          </w:p>
        </w:tc>
      </w:tr>
      <w:tr>
        <w:tc>
          <w:tcPr>
            <w:tcW w:type="dxa" w:w="5850"/>
            <w:vAlign w:val="top"/>
            <w:tcMar>
              <w:top w:w="90" w:type="dxa"/>
              <w:start w:w="120" w:type="dxa"/>
              <w:bottom w:w="90" w:type="dxa"/>
              <w:end w:w="120" w:type="dxa"/>
            </w:tcMar>
          </w:tcPr>
          <w:p>
            <w:pPr>
              <w:spacing w:after="0" w:line="250" w:lineRule="auto"/>
            </w:pPr>
            <w:r/>
            <w:r>
              <w:rPr>
                <w:rFonts w:ascii="Aptos" w:hAnsi="Aptos"/>
                <w:b w:val="0"/>
                <w:color w:val="1D2433"/>
                <w:sz w:val="14"/>
              </w:rPr>
              <w:t>Membership/pass plans, fair-use and renewal terms</w:t>
            </w:r>
          </w:p>
        </w:tc>
        <w:tc>
          <w:tcPr>
            <w:tcW w:type="dxa" w:w="3510"/>
            <w:vAlign w:val="top"/>
            <w:tcMar>
              <w:top w:w="90" w:type="dxa"/>
              <w:start w:w="120" w:type="dxa"/>
              <w:bottom w:w="90" w:type="dxa"/>
              <w:end w:w="120" w:type="dxa"/>
            </w:tcMar>
          </w:tcPr>
          <w:p>
            <w:pPr>
              <w:spacing w:after="0" w:line="250" w:lineRule="auto"/>
            </w:pPr>
            <w:r/>
            <w:r>
              <w:rPr>
                <w:rFonts w:ascii="Aptos" w:hAnsi="Aptos"/>
                <w:b w:val="0"/>
                <w:color w:val="1D2433"/>
                <w:sz w:val="14"/>
              </w:rPr>
              <w:t>Executive + Finance + Operations + Legal</w:t>
            </w:r>
          </w:p>
        </w:tc>
      </w:tr>
      <w:tr>
        <w:tc>
          <w:tcPr>
            <w:tcW w:type="dxa" w:w="5850"/>
            <w:vAlign w:val="top"/>
            <w:shd w:fill="F6F8FB"/>
            <w:tcMar>
              <w:top w:w="90" w:type="dxa"/>
              <w:start w:w="120" w:type="dxa"/>
              <w:bottom w:w="90" w:type="dxa"/>
              <w:end w:w="120" w:type="dxa"/>
            </w:tcMar>
          </w:tcPr>
          <w:p>
            <w:pPr>
              <w:spacing w:after="0" w:line="250" w:lineRule="auto"/>
            </w:pPr>
            <w:r/>
            <w:r>
              <w:rPr>
                <w:rFonts w:ascii="Aptos" w:hAnsi="Aptos"/>
                <w:b w:val="0"/>
                <w:color w:val="1D2433"/>
                <w:sz w:val="14"/>
              </w:rPr>
              <w:t>Referral qualification, values, caps and risk thresholds</w:t>
            </w:r>
          </w:p>
        </w:tc>
        <w:tc>
          <w:tcPr>
            <w:tcW w:type="dxa" w:w="3510"/>
            <w:vAlign w:val="top"/>
            <w:shd w:fill="F6F8FB"/>
            <w:tcMar>
              <w:top w:w="90" w:type="dxa"/>
              <w:start w:w="120" w:type="dxa"/>
              <w:bottom w:w="90" w:type="dxa"/>
              <w:end w:w="120" w:type="dxa"/>
            </w:tcMar>
          </w:tcPr>
          <w:p>
            <w:pPr>
              <w:spacing w:after="0" w:line="250" w:lineRule="auto"/>
            </w:pPr>
            <w:r/>
            <w:r>
              <w:rPr>
                <w:rFonts w:ascii="Aptos" w:hAnsi="Aptos"/>
                <w:b w:val="0"/>
                <w:color w:val="1D2433"/>
                <w:sz w:val="14"/>
              </w:rPr>
              <w:t>Marketing + Finance + Security</w:t>
            </w:r>
          </w:p>
        </w:tc>
      </w:tr>
      <w:tr>
        <w:tc>
          <w:tcPr>
            <w:tcW w:type="dxa" w:w="5850"/>
            <w:vAlign w:val="top"/>
            <w:tcMar>
              <w:top w:w="90" w:type="dxa"/>
              <w:start w:w="120" w:type="dxa"/>
              <w:bottom w:w="90" w:type="dxa"/>
              <w:end w:w="120" w:type="dxa"/>
            </w:tcMar>
          </w:tcPr>
          <w:p>
            <w:pPr>
              <w:spacing w:after="0" w:line="250" w:lineRule="auto"/>
            </w:pPr>
            <w:r/>
            <w:r>
              <w:rPr>
                <w:rFonts w:ascii="Aptos" w:hAnsi="Aptos"/>
                <w:b w:val="0"/>
                <w:color w:val="1D2433"/>
                <w:sz w:val="14"/>
              </w:rPr>
              <w:t>Service-recovery authority and park budgets</w:t>
            </w:r>
          </w:p>
        </w:tc>
        <w:tc>
          <w:tcPr>
            <w:tcW w:type="dxa" w:w="3510"/>
            <w:vAlign w:val="top"/>
            <w:tcMar>
              <w:top w:w="90" w:type="dxa"/>
              <w:start w:w="120" w:type="dxa"/>
              <w:bottom w:w="90" w:type="dxa"/>
              <w:end w:w="120" w:type="dxa"/>
            </w:tcMar>
          </w:tcPr>
          <w:p>
            <w:pPr>
              <w:spacing w:after="0" w:line="250" w:lineRule="auto"/>
            </w:pPr>
            <w:r/>
            <w:r>
              <w:rPr>
                <w:rFonts w:ascii="Aptos" w:hAnsi="Aptos"/>
                <w:b w:val="0"/>
                <w:color w:val="1D2433"/>
                <w:sz w:val="14"/>
              </w:rPr>
              <w:t>Operations + Finance</w:t>
            </w:r>
          </w:p>
        </w:tc>
      </w:tr>
      <w:tr>
        <w:tc>
          <w:tcPr>
            <w:tcW w:type="dxa" w:w="5850"/>
            <w:vAlign w:val="top"/>
            <w:shd w:fill="F6F8FB"/>
            <w:tcMar>
              <w:top w:w="90" w:type="dxa"/>
              <w:start w:w="120" w:type="dxa"/>
              <w:bottom w:w="90" w:type="dxa"/>
              <w:end w:w="120" w:type="dxa"/>
            </w:tcMar>
          </w:tcPr>
          <w:p>
            <w:pPr>
              <w:spacing w:after="0" w:line="250" w:lineRule="auto"/>
            </w:pPr>
            <w:r/>
            <w:r>
              <w:rPr>
                <w:rFonts w:ascii="Aptos" w:hAnsi="Aptos"/>
                <w:b w:val="0"/>
                <w:color w:val="1D2433"/>
                <w:sz w:val="14"/>
              </w:rPr>
              <w:t>Communication purposes, consent text, caps and quiet hours</w:t>
            </w:r>
          </w:p>
        </w:tc>
        <w:tc>
          <w:tcPr>
            <w:tcW w:type="dxa" w:w="3510"/>
            <w:vAlign w:val="top"/>
            <w:shd w:fill="F6F8FB"/>
            <w:tcMar>
              <w:top w:w="90" w:type="dxa"/>
              <w:start w:w="120" w:type="dxa"/>
              <w:bottom w:w="90" w:type="dxa"/>
              <w:end w:w="120" w:type="dxa"/>
            </w:tcMar>
          </w:tcPr>
          <w:p>
            <w:pPr>
              <w:spacing w:after="0" w:line="250" w:lineRule="auto"/>
            </w:pPr>
            <w:r/>
            <w:r>
              <w:rPr>
                <w:rFonts w:ascii="Aptos" w:hAnsi="Aptos"/>
                <w:b w:val="0"/>
                <w:color w:val="1D2433"/>
                <w:sz w:val="14"/>
              </w:rPr>
              <w:t>Marketing + DPO/Legal</w:t>
            </w:r>
          </w:p>
        </w:tc>
      </w:tr>
      <w:tr>
        <w:tc>
          <w:tcPr>
            <w:tcW w:type="dxa" w:w="5850"/>
            <w:vAlign w:val="top"/>
            <w:tcMar>
              <w:top w:w="90" w:type="dxa"/>
              <w:start w:w="120" w:type="dxa"/>
              <w:bottom w:w="90" w:type="dxa"/>
              <w:end w:w="120" w:type="dxa"/>
            </w:tcMar>
          </w:tcPr>
          <w:p>
            <w:pPr>
              <w:spacing w:after="0" w:line="250" w:lineRule="auto"/>
            </w:pPr>
            <w:r/>
            <w:r>
              <w:rPr>
                <w:rFonts w:ascii="Aptos" w:hAnsi="Aptos"/>
                <w:b w:val="0"/>
                <w:color w:val="1D2433"/>
                <w:sz w:val="14"/>
              </w:rPr>
              <w:t>Geolocation activation and retention</w:t>
            </w:r>
          </w:p>
        </w:tc>
        <w:tc>
          <w:tcPr>
            <w:tcW w:type="dxa" w:w="3510"/>
            <w:vAlign w:val="top"/>
            <w:tcMar>
              <w:top w:w="90" w:type="dxa"/>
              <w:start w:w="120" w:type="dxa"/>
              <w:bottom w:w="90" w:type="dxa"/>
              <w:end w:w="120" w:type="dxa"/>
            </w:tcMar>
          </w:tcPr>
          <w:p>
            <w:pPr>
              <w:spacing w:after="0" w:line="250" w:lineRule="auto"/>
            </w:pPr>
            <w:r/>
            <w:r>
              <w:rPr>
                <w:rFonts w:ascii="Aptos" w:hAnsi="Aptos"/>
                <w:b w:val="0"/>
                <w:color w:val="1D2433"/>
                <w:sz w:val="14"/>
              </w:rPr>
              <w:t>DPO/Legal + Security + Marketing</w:t>
            </w:r>
          </w:p>
        </w:tc>
      </w:tr>
      <w:tr>
        <w:tc>
          <w:tcPr>
            <w:tcW w:type="dxa" w:w="5850"/>
            <w:vAlign w:val="top"/>
            <w:shd w:fill="F6F8FB"/>
            <w:tcMar>
              <w:top w:w="90" w:type="dxa"/>
              <w:start w:w="120" w:type="dxa"/>
              <w:bottom w:w="90" w:type="dxa"/>
              <w:end w:w="120" w:type="dxa"/>
            </w:tcMar>
          </w:tcPr>
          <w:p>
            <w:pPr>
              <w:spacing w:after="0" w:line="250" w:lineRule="auto"/>
            </w:pPr>
            <w:r/>
            <w:r>
              <w:rPr>
                <w:rFonts w:ascii="Aptos" w:hAnsi="Aptos"/>
                <w:b w:val="0"/>
                <w:color w:val="1D2433"/>
                <w:sz w:val="14"/>
              </w:rPr>
              <w:t>Retention schedule and processor inventory</w:t>
            </w:r>
          </w:p>
        </w:tc>
        <w:tc>
          <w:tcPr>
            <w:tcW w:type="dxa" w:w="3510"/>
            <w:vAlign w:val="top"/>
            <w:shd w:fill="F6F8FB"/>
            <w:tcMar>
              <w:top w:w="90" w:type="dxa"/>
              <w:start w:w="120" w:type="dxa"/>
              <w:bottom w:w="90" w:type="dxa"/>
              <w:end w:w="120" w:type="dxa"/>
            </w:tcMar>
          </w:tcPr>
          <w:p>
            <w:pPr>
              <w:spacing w:after="0" w:line="250" w:lineRule="auto"/>
            </w:pPr>
            <w:r/>
            <w:r>
              <w:rPr>
                <w:rFonts w:ascii="Aptos" w:hAnsi="Aptos"/>
                <w:b w:val="0"/>
                <w:color w:val="1D2433"/>
                <w:sz w:val="14"/>
              </w:rPr>
              <w:t>DPO/Legal + Finance + Security</w:t>
            </w:r>
          </w:p>
        </w:tc>
      </w:tr>
      <w:tr>
        <w:tc>
          <w:tcPr>
            <w:tcW w:type="dxa" w:w="5850"/>
            <w:vAlign w:val="top"/>
            <w:tcMar>
              <w:top w:w="90" w:type="dxa"/>
              <w:start w:w="120" w:type="dxa"/>
              <w:bottom w:w="90" w:type="dxa"/>
              <w:end w:w="120" w:type="dxa"/>
            </w:tcMar>
          </w:tcPr>
          <w:p>
            <w:pPr>
              <w:spacing w:after="0" w:line="250" w:lineRule="auto"/>
            </w:pPr>
            <w:r/>
            <w:r>
              <w:rPr>
                <w:rFonts w:ascii="Aptos" w:hAnsi="Aptos"/>
                <w:b w:val="0"/>
                <w:color w:val="1D2433"/>
                <w:sz w:val="14"/>
              </w:rPr>
              <w:t>Offline redemption risk envelope</w:t>
            </w:r>
          </w:p>
        </w:tc>
        <w:tc>
          <w:tcPr>
            <w:tcW w:type="dxa" w:w="3510"/>
            <w:vAlign w:val="top"/>
            <w:tcMar>
              <w:top w:w="90" w:type="dxa"/>
              <w:start w:w="120" w:type="dxa"/>
              <w:bottom w:w="90" w:type="dxa"/>
              <w:end w:w="120" w:type="dxa"/>
            </w:tcMar>
          </w:tcPr>
          <w:p>
            <w:pPr>
              <w:spacing w:after="0" w:line="250" w:lineRule="auto"/>
            </w:pPr>
            <w:r/>
            <w:r>
              <w:rPr>
                <w:rFonts w:ascii="Aptos" w:hAnsi="Aptos"/>
                <w:b w:val="0"/>
                <w:color w:val="1D2433"/>
                <w:sz w:val="14"/>
              </w:rPr>
              <w:t>Finance + Security + Operations</w:t>
            </w:r>
          </w:p>
        </w:tc>
      </w:tr>
    </w:tbl>
    <w:p>
      <w:pPr>
        <w:spacing w:after="20"/>
      </w:pPr>
    </w:p>
    <w:p>
      <w:pPr>
        <w:pStyle w:val="Heading1"/>
        <w:keepNext/>
      </w:pPr>
      <w:r>
        <w:t>29. Open external-authority checklist</w:t>
      </w:r>
    </w:p>
    <w:p>
      <w:r>
        <w:rPr>
          <w:rFonts w:ascii="Aptos" w:hAnsi="Aptos"/>
          <w:b w:val="0"/>
          <w:i w:val="0"/>
          <w:color w:val="1D2433"/>
          <w:sz w:val="19"/>
        </w:rPr>
        <w:t>The following inputs require Quantum Park ownership or third-party authority. Developer agents must prepare the integration and validation path but cannot legitimately invent these items. Their absence is an external release blocker, not permission to weaken the production system.</w:t>
      </w:r>
    </w:p>
    <w:p>
      <w:pPr>
        <w:pStyle w:val="ListBullet"/>
      </w:pPr>
      <w:r>
        <w:rPr>
          <w:rFonts w:ascii="Aptos" w:hAnsi="Aptos"/>
          <w:b w:val="0"/>
          <w:color w:val="1D2433"/>
          <w:sz w:val="19"/>
        </w:rPr>
        <w:t>Authorised AppyBook technical documentation, credentials and data-processing terms—or approval for the secure export/import mode.</w:t>
      </w:r>
    </w:p>
    <w:p>
      <w:pPr>
        <w:pStyle w:val="ListBullet"/>
      </w:pPr>
      <w:r>
        <w:rPr>
          <w:rFonts w:ascii="Aptos" w:hAnsi="Aptos"/>
          <w:b w:val="0"/>
          <w:color w:val="1D2433"/>
          <w:sz w:val="19"/>
        </w:rPr>
        <w:t>POS vendor identification, documentation, sandbox and transaction field mapping for each park.</w:t>
      </w:r>
    </w:p>
    <w:p>
      <w:pPr>
        <w:pStyle w:val="ListBullet"/>
      </w:pPr>
      <w:r>
        <w:rPr>
          <w:rFonts w:ascii="Aptos" w:hAnsi="Aptos"/>
          <w:b w:val="0"/>
          <w:color w:val="1D2433"/>
          <w:sz w:val="19"/>
        </w:rPr>
        <w:t>Production payment-provider account and settlement ownership.</w:t>
      </w:r>
    </w:p>
    <w:p>
      <w:pPr>
        <w:pStyle w:val="ListBullet"/>
      </w:pPr>
      <w:r>
        <w:rPr>
          <w:rFonts w:ascii="Aptos" w:hAnsi="Aptos"/>
          <w:b w:val="0"/>
          <w:color w:val="1D2433"/>
          <w:sz w:val="19"/>
        </w:rPr>
        <w:t>Apple Developer/Wallet certificates and Google Wallet issuer approval.</w:t>
      </w:r>
    </w:p>
    <w:p>
      <w:pPr>
        <w:pStyle w:val="ListBullet"/>
      </w:pPr>
      <w:r>
        <w:rPr>
          <w:rFonts w:ascii="Aptos" w:hAnsi="Aptos"/>
          <w:b w:val="0"/>
          <w:color w:val="1D2433"/>
          <w:sz w:val="19"/>
        </w:rPr>
        <w:t>Approved email domain/DNS, SMS sender and WhatsApp Business account/templates.</w:t>
      </w:r>
    </w:p>
    <w:p>
      <w:pPr>
        <w:pStyle w:val="ListBullet"/>
      </w:pPr>
      <w:r>
        <w:rPr>
          <w:rFonts w:ascii="Aptos" w:hAnsi="Aptos"/>
          <w:b w:val="0"/>
          <w:color w:val="1D2433"/>
          <w:sz w:val="19"/>
        </w:rPr>
        <w:t>Workforce identity-provider and staff/role source of truth.</w:t>
      </w:r>
    </w:p>
    <w:p>
      <w:pPr>
        <w:pStyle w:val="ListBullet"/>
      </w:pPr>
      <w:r>
        <w:rPr>
          <w:rFonts w:ascii="Aptos" w:hAnsi="Aptos"/>
          <w:b w:val="0"/>
          <w:color w:val="1D2433"/>
          <w:sz w:val="19"/>
        </w:rPr>
        <w:t>Quantum Park legal entity/controller details, approved privacy notice, terms, DPA set and retention schedule.</w:t>
      </w:r>
    </w:p>
    <w:p>
      <w:pPr>
        <w:pStyle w:val="ListBullet"/>
      </w:pPr>
      <w:r>
        <w:rPr>
          <w:rFonts w:ascii="Aptos" w:hAnsi="Aptos"/>
          <w:b w:val="0"/>
          <w:color w:val="1D2433"/>
          <w:sz w:val="19"/>
        </w:rPr>
        <w:t>Approved loyalty economics and accounting treatment.</w:t>
      </w:r>
    </w:p>
    <w:p>
      <w:pPr>
        <w:pStyle w:val="ListBullet"/>
      </w:pPr>
      <w:r>
        <w:rPr>
          <w:rFonts w:ascii="Aptos" w:hAnsi="Aptos"/>
          <w:b w:val="0"/>
          <w:color w:val="1D2433"/>
          <w:sz w:val="19"/>
        </w:rPr>
        <w:t>Production hosting/cloud account, domain, observability destinations and on-call roster.</w:t>
      </w:r>
    </w:p>
    <w:p>
      <w:pPr>
        <w:pStyle w:val="Heading1"/>
        <w:keepNext/>
      </w:pPr>
      <w:r>
        <w:t>30. Reference sources and evidence basis</w:t>
      </w:r>
    </w:p>
    <w:p>
      <w:r>
        <w:rPr>
          <w:rFonts w:ascii="Aptos" w:hAnsi="Aptos"/>
          <w:b w:val="0"/>
          <w:i w:val="0"/>
          <w:color w:val="1D2433"/>
          <w:sz w:val="19"/>
        </w:rPr>
        <w:t>This PRD combines the preceding Fidelize analysis with current public Quantum Park information. Product decisions are requirements authored for Quantum Park; external sources are contextual evidence, not substitutes for Quantum Park’s internal contracts or operational knowledge.</w:t>
      </w:r>
    </w:p>
    <w:tbl>
      <w:tblPr>
        <w:tblStyle w:val="TableGrid"/>
        <w:tblW w:type="dxa" w:w="9360"/>
        <w:jc w:val="left"/>
        <w:tblLayout w:type="fixed"/>
        <w:tblLook w:firstColumn="1" w:firstRow="1" w:lastColumn="0" w:lastRow="0" w:noHBand="0" w:noVBand="1" w:val="04A0"/>
        <w:tblInd w:w="120" w:type="dxa"/>
      </w:tblPr>
      <w:tblGrid>
        <w:gridCol w:w="4650"/>
        <w:gridCol w:w="4710"/>
      </w:tblGrid>
      <w:tr>
        <w:trPr>
          <w:tblHeader w:val="true"/>
        </w:trPr>
        <w:tc>
          <w:tcPr>
            <w:tcW w:type="dxa" w:w="4650"/>
            <w:vAlign w:val="center"/>
            <w:shd w:fill="0B2545"/>
            <w:tcMar>
              <w:top w:w="90" w:type="dxa"/>
              <w:start w:w="120" w:type="dxa"/>
              <w:bottom w:w="90" w:type="dxa"/>
              <w:end w:w="120" w:type="dxa"/>
            </w:tcMar>
          </w:tcPr>
          <w:p>
            <w:pPr>
              <w:spacing w:after="0"/>
            </w:pPr>
            <w:r/>
            <w:r>
              <w:rPr>
                <w:rFonts w:ascii="Aptos" w:hAnsi="Aptos"/>
                <w:b/>
                <w:color w:val="FFFFFF"/>
                <w:sz w:val="14"/>
              </w:rPr>
              <w:t>Source</w:t>
            </w:r>
          </w:p>
        </w:tc>
        <w:tc>
          <w:tcPr>
            <w:tcW w:type="dxa" w:w="4710"/>
            <w:shd w:fill="0B2545"/>
            <w:tcMar>
              <w:top w:w="90" w:type="dxa"/>
              <w:start w:w="120" w:type="dxa"/>
              <w:bottom w:w="90" w:type="dxa"/>
              <w:end w:w="120" w:type="dxa"/>
            </w:tcMar>
          </w:tcPr>
          <w:p>
            <w:pPr>
              <w:spacing w:after="0"/>
            </w:pPr>
            <w:r/>
            <w:r>
              <w:rPr>
                <w:rFonts w:ascii="Aptos" w:hAnsi="Aptos"/>
                <w:b/>
                <w:color w:val="FFFFFF"/>
                <w:sz w:val="14"/>
              </w:rPr>
              <w:t>Use</w:t>
            </w:r>
          </w:p>
        </w:tc>
      </w:tr>
      <w:tr>
        <w:tc>
          <w:tcPr>
            <w:tcW w:type="dxa" w:w="4650"/>
            <w:vAlign w:val="top"/>
            <w:tcMar>
              <w:top w:w="90" w:type="dxa"/>
              <w:start w:w="120" w:type="dxa"/>
              <w:bottom w:w="90" w:type="dxa"/>
              <w:end w:w="120" w:type="dxa"/>
            </w:tcMar>
          </w:tcPr>
          <w:p>
            <w:pPr>
              <w:spacing w:after="0" w:line="250" w:lineRule="auto"/>
            </w:pPr>
            <w:r/>
            <w:r>
              <w:rPr>
                <w:rFonts w:ascii="Aptos" w:hAnsi="Aptos"/>
                <w:b w:val="0"/>
                <w:color w:val="1D2433"/>
                <w:sz w:val="14"/>
              </w:rPr>
              <w:t>https://fidelize.pt/</w:t>
            </w:r>
          </w:p>
        </w:tc>
        <w:tc>
          <w:tcPr>
            <w:tcW w:type="dxa" w:w="4710"/>
            <w:vAlign w:val="top"/>
            <w:tcMar>
              <w:top w:w="90" w:type="dxa"/>
              <w:start w:w="120" w:type="dxa"/>
              <w:bottom w:w="90" w:type="dxa"/>
              <w:end w:w="120" w:type="dxa"/>
            </w:tcMar>
          </w:tcPr>
          <w:p>
            <w:pPr>
              <w:spacing w:after="0" w:line="250" w:lineRule="auto"/>
            </w:pPr>
            <w:r/>
            <w:r>
              <w:rPr>
                <w:rFonts w:ascii="Aptos" w:hAnsi="Aptos"/>
                <w:b w:val="0"/>
                <w:color w:val="1D2433"/>
                <w:sz w:val="14"/>
              </w:rPr>
              <w:t>Feature, pricing, positioning and customer-facing benchmark.</w:t>
            </w:r>
          </w:p>
        </w:tc>
      </w:tr>
      <w:tr>
        <w:tc>
          <w:tcPr>
            <w:tcW w:type="dxa" w:w="4650"/>
            <w:vAlign w:val="top"/>
            <w:shd w:fill="F6F8FB"/>
            <w:tcMar>
              <w:top w:w="90" w:type="dxa"/>
              <w:start w:w="120" w:type="dxa"/>
              <w:bottom w:w="90" w:type="dxa"/>
              <w:end w:w="120" w:type="dxa"/>
            </w:tcMar>
          </w:tcPr>
          <w:p>
            <w:pPr>
              <w:spacing w:after="0" w:line="250" w:lineRule="auto"/>
            </w:pPr>
            <w:r/>
            <w:r>
              <w:rPr>
                <w:rFonts w:ascii="Aptos" w:hAnsi="Aptos"/>
                <w:b w:val="0"/>
                <w:color w:val="1D2433"/>
                <w:sz w:val="14"/>
              </w:rPr>
              <w:t>https://app.fidelize.pt/promo/gdpr/terms-of-use</w:t>
            </w:r>
          </w:p>
        </w:tc>
        <w:tc>
          <w:tcPr>
            <w:tcW w:type="dxa" w:w="4710"/>
            <w:vAlign w:val="top"/>
            <w:shd w:fill="F6F8FB"/>
            <w:tcMar>
              <w:top w:w="90" w:type="dxa"/>
              <w:start w:w="120" w:type="dxa"/>
              <w:bottom w:w="90" w:type="dxa"/>
              <w:end w:w="120" w:type="dxa"/>
            </w:tcMar>
          </w:tcPr>
          <w:p>
            <w:pPr>
              <w:spacing w:after="0" w:line="250" w:lineRule="auto"/>
            </w:pPr>
            <w:r/>
            <w:r>
              <w:rPr>
                <w:rFonts w:ascii="Aptos" w:hAnsi="Aptos"/>
                <w:b w:val="0"/>
                <w:color w:val="1D2433"/>
                <w:sz w:val="14"/>
              </w:rPr>
              <w:t>Legal, availability and data-handling benchmark.</w:t>
            </w:r>
          </w:p>
        </w:tc>
      </w:tr>
      <w:tr>
        <w:tc>
          <w:tcPr>
            <w:tcW w:type="dxa" w:w="4650"/>
            <w:vAlign w:val="top"/>
            <w:tcMar>
              <w:top w:w="90" w:type="dxa"/>
              <w:start w:w="120" w:type="dxa"/>
              <w:bottom w:w="90" w:type="dxa"/>
              <w:end w:w="120" w:type="dxa"/>
            </w:tcMar>
          </w:tcPr>
          <w:p>
            <w:pPr>
              <w:spacing w:after="0" w:line="250" w:lineRule="auto"/>
            </w:pPr>
            <w:r/>
            <w:r>
              <w:rPr>
                <w:rFonts w:ascii="Aptos" w:hAnsi="Aptos"/>
                <w:b w:val="0"/>
                <w:color w:val="1D2433"/>
                <w:sz w:val="14"/>
              </w:rPr>
              <w:t>https://app.fidelize.pt/promo/gdpr/private-label-policy</w:t>
            </w:r>
          </w:p>
        </w:tc>
        <w:tc>
          <w:tcPr>
            <w:tcW w:type="dxa" w:w="4710"/>
            <w:vAlign w:val="top"/>
            <w:tcMar>
              <w:top w:w="90" w:type="dxa"/>
              <w:start w:w="120" w:type="dxa"/>
              <w:bottom w:w="90" w:type="dxa"/>
              <w:end w:w="120" w:type="dxa"/>
            </w:tcMar>
          </w:tcPr>
          <w:p>
            <w:pPr>
              <w:spacing w:after="0" w:line="250" w:lineRule="auto"/>
            </w:pPr>
            <w:r/>
            <w:r>
              <w:rPr>
                <w:rFonts w:ascii="Aptos" w:hAnsi="Aptos"/>
                <w:b w:val="0"/>
                <w:color w:val="1D2433"/>
                <w:sz w:val="14"/>
              </w:rPr>
              <w:t>White-label model benchmark and dependency risk.</w:t>
            </w:r>
          </w:p>
        </w:tc>
      </w:tr>
      <w:tr>
        <w:tc>
          <w:tcPr>
            <w:tcW w:type="dxa" w:w="4650"/>
            <w:vAlign w:val="top"/>
            <w:shd w:fill="F6F8FB"/>
            <w:tcMar>
              <w:top w:w="90" w:type="dxa"/>
              <w:start w:w="120" w:type="dxa"/>
              <w:bottom w:w="90" w:type="dxa"/>
              <w:end w:w="120" w:type="dxa"/>
            </w:tcMar>
          </w:tcPr>
          <w:p>
            <w:pPr>
              <w:spacing w:after="0" w:line="250" w:lineRule="auto"/>
            </w:pPr>
            <w:r/>
            <w:r>
              <w:rPr>
                <w:rFonts w:ascii="Aptos" w:hAnsi="Aptos"/>
                <w:b w:val="0"/>
                <w:color w:val="1D2433"/>
                <w:sz w:val="14"/>
              </w:rPr>
              <w:t>https://www.mygeorewards.com/promo/en</w:t>
            </w:r>
          </w:p>
        </w:tc>
        <w:tc>
          <w:tcPr>
            <w:tcW w:type="dxa" w:w="4710"/>
            <w:vAlign w:val="top"/>
            <w:shd w:fill="F6F8FB"/>
            <w:tcMar>
              <w:top w:w="90" w:type="dxa"/>
              <w:start w:w="120" w:type="dxa"/>
              <w:bottom w:w="90" w:type="dxa"/>
              <w:end w:w="120" w:type="dxa"/>
            </w:tcMar>
          </w:tcPr>
          <w:p>
            <w:pPr>
              <w:spacing w:after="0" w:line="250" w:lineRule="auto"/>
            </w:pPr>
            <w:r/>
            <w:r>
              <w:rPr>
                <w:rFonts w:ascii="Aptos" w:hAnsi="Aptos"/>
                <w:b w:val="0"/>
                <w:color w:val="1D2433"/>
                <w:sz w:val="14"/>
              </w:rPr>
              <w:t>Comparable underlying feature architecture and white-label evidence.</w:t>
            </w:r>
          </w:p>
        </w:tc>
      </w:tr>
      <w:tr>
        <w:tc>
          <w:tcPr>
            <w:tcW w:type="dxa" w:w="4650"/>
            <w:vAlign w:val="top"/>
            <w:tcMar>
              <w:top w:w="90" w:type="dxa"/>
              <w:start w:w="120" w:type="dxa"/>
              <w:bottom w:w="90" w:type="dxa"/>
              <w:end w:w="120" w:type="dxa"/>
            </w:tcMar>
          </w:tcPr>
          <w:p>
            <w:pPr>
              <w:spacing w:after="0" w:line="250" w:lineRule="auto"/>
            </w:pPr>
            <w:r/>
            <w:r>
              <w:rPr>
                <w:rFonts w:ascii="Aptos" w:hAnsi="Aptos"/>
                <w:b w:val="0"/>
                <w:color w:val="1D2433"/>
                <w:sz w:val="14"/>
              </w:rPr>
              <w:t>https://digitalrewards.cards/pricing/</w:t>
            </w:r>
          </w:p>
        </w:tc>
        <w:tc>
          <w:tcPr>
            <w:tcW w:type="dxa" w:w="4710"/>
            <w:vAlign w:val="top"/>
            <w:tcMar>
              <w:top w:w="90" w:type="dxa"/>
              <w:start w:w="120" w:type="dxa"/>
              <w:bottom w:w="90" w:type="dxa"/>
              <w:end w:w="120" w:type="dxa"/>
            </w:tcMar>
          </w:tcPr>
          <w:p>
            <w:pPr>
              <w:spacing w:after="0" w:line="250" w:lineRule="auto"/>
            </w:pPr>
            <w:r/>
            <w:r>
              <w:rPr>
                <w:rFonts w:ascii="Aptos" w:hAnsi="Aptos"/>
                <w:b w:val="0"/>
                <w:color w:val="1D2433"/>
                <w:sz w:val="14"/>
              </w:rPr>
              <w:t>Comparable card, scanner, automation and location/manager capabilities.</w:t>
            </w:r>
          </w:p>
        </w:tc>
      </w:tr>
      <w:tr>
        <w:tc>
          <w:tcPr>
            <w:tcW w:type="dxa" w:w="4650"/>
            <w:vAlign w:val="top"/>
            <w:shd w:fill="F6F8FB"/>
            <w:tcMar>
              <w:top w:w="90" w:type="dxa"/>
              <w:start w:w="120" w:type="dxa"/>
              <w:bottom w:w="90" w:type="dxa"/>
              <w:end w:w="120" w:type="dxa"/>
            </w:tcMar>
          </w:tcPr>
          <w:p>
            <w:pPr>
              <w:spacing w:after="0" w:line="250" w:lineRule="auto"/>
            </w:pPr>
            <w:r/>
            <w:r>
              <w:rPr>
                <w:rFonts w:ascii="Aptos" w:hAnsi="Aptos"/>
                <w:b w:val="0"/>
                <w:color w:val="1D2433"/>
                <w:sz w:val="14"/>
              </w:rPr>
              <w:t>https://www.quantumparks.com/</w:t>
            </w:r>
          </w:p>
        </w:tc>
        <w:tc>
          <w:tcPr>
            <w:tcW w:type="dxa" w:w="4710"/>
            <w:vAlign w:val="top"/>
            <w:shd w:fill="F6F8FB"/>
            <w:tcMar>
              <w:top w:w="90" w:type="dxa"/>
              <w:start w:w="120" w:type="dxa"/>
              <w:bottom w:w="90" w:type="dxa"/>
              <w:end w:w="120" w:type="dxa"/>
            </w:tcMar>
          </w:tcPr>
          <w:p>
            <w:pPr>
              <w:spacing w:after="0" w:line="250" w:lineRule="auto"/>
            </w:pPr>
            <w:r/>
            <w:r>
              <w:rPr>
                <w:rFonts w:ascii="Aptos" w:hAnsi="Aptos"/>
                <w:b w:val="0"/>
                <w:color w:val="1D2433"/>
                <w:sz w:val="14"/>
              </w:rPr>
              <w:t>Quantum Park brand, locations and offer.</w:t>
            </w:r>
          </w:p>
        </w:tc>
      </w:tr>
      <w:tr>
        <w:tc>
          <w:tcPr>
            <w:tcW w:type="dxa" w:w="4650"/>
            <w:vAlign w:val="top"/>
            <w:tcMar>
              <w:top w:w="90" w:type="dxa"/>
              <w:start w:w="120" w:type="dxa"/>
              <w:bottom w:w="90" w:type="dxa"/>
              <w:end w:w="120" w:type="dxa"/>
            </w:tcMar>
          </w:tcPr>
          <w:p>
            <w:pPr>
              <w:spacing w:after="0" w:line="250" w:lineRule="auto"/>
            </w:pPr>
            <w:r/>
            <w:r>
              <w:rPr>
                <w:rFonts w:ascii="Aptos" w:hAnsi="Aptos"/>
                <w:b w:val="0"/>
                <w:color w:val="1D2433"/>
                <w:sz w:val="14"/>
              </w:rPr>
              <w:t>https://www.quantumparks.com/sobre-nos-lisboa/</w:t>
            </w:r>
          </w:p>
        </w:tc>
        <w:tc>
          <w:tcPr>
            <w:tcW w:type="dxa" w:w="4710"/>
            <w:vAlign w:val="top"/>
            <w:tcMar>
              <w:top w:w="90" w:type="dxa"/>
              <w:start w:w="120" w:type="dxa"/>
              <w:bottom w:w="90" w:type="dxa"/>
              <w:end w:w="120" w:type="dxa"/>
            </w:tcMar>
          </w:tcPr>
          <w:p>
            <w:pPr>
              <w:spacing w:after="0" w:line="250" w:lineRule="auto"/>
            </w:pPr>
            <w:r/>
            <w:r>
              <w:rPr>
                <w:rFonts w:ascii="Aptos" w:hAnsi="Aptos"/>
                <w:b w:val="0"/>
                <w:color w:val="1D2433"/>
                <w:sz w:val="14"/>
              </w:rPr>
              <w:t>Current parks and active-entertainment positioning.</w:t>
            </w:r>
          </w:p>
        </w:tc>
      </w:tr>
      <w:tr>
        <w:tc>
          <w:tcPr>
            <w:tcW w:type="dxa" w:w="4650"/>
            <w:vAlign w:val="top"/>
            <w:shd w:fill="F6F8FB"/>
            <w:tcMar>
              <w:top w:w="90" w:type="dxa"/>
              <w:start w:w="120" w:type="dxa"/>
              <w:bottom w:w="90" w:type="dxa"/>
              <w:end w:w="120" w:type="dxa"/>
            </w:tcMar>
          </w:tcPr>
          <w:p>
            <w:pPr>
              <w:spacing w:after="0" w:line="250" w:lineRule="auto"/>
            </w:pPr>
            <w:r/>
            <w:r>
              <w:rPr>
                <w:rFonts w:ascii="Aptos" w:hAnsi="Aptos"/>
                <w:b w:val="0"/>
                <w:color w:val="1D2433"/>
                <w:sz w:val="14"/>
              </w:rPr>
              <w:t>https://www.quantumparks.com/reservas/</w:t>
            </w:r>
          </w:p>
        </w:tc>
        <w:tc>
          <w:tcPr>
            <w:tcW w:type="dxa" w:w="4710"/>
            <w:vAlign w:val="top"/>
            <w:shd w:fill="F6F8FB"/>
            <w:tcMar>
              <w:top w:w="90" w:type="dxa"/>
              <w:start w:w="120" w:type="dxa"/>
              <w:bottom w:w="90" w:type="dxa"/>
              <w:end w:w="120" w:type="dxa"/>
            </w:tcMar>
          </w:tcPr>
          <w:p>
            <w:pPr>
              <w:spacing w:after="0" w:line="250" w:lineRule="auto"/>
            </w:pPr>
            <w:r/>
            <w:r>
              <w:rPr>
                <w:rFonts w:ascii="Aptos" w:hAnsi="Aptos"/>
                <w:b w:val="0"/>
                <w:color w:val="1D2433"/>
                <w:sz w:val="14"/>
              </w:rPr>
              <w:t>Booking categories and customer journeys.</w:t>
            </w:r>
          </w:p>
        </w:tc>
      </w:tr>
      <w:tr>
        <w:tc>
          <w:tcPr>
            <w:tcW w:type="dxa" w:w="4650"/>
            <w:vAlign w:val="top"/>
            <w:tcMar>
              <w:top w:w="90" w:type="dxa"/>
              <w:start w:w="120" w:type="dxa"/>
              <w:bottom w:w="90" w:type="dxa"/>
              <w:end w:w="120" w:type="dxa"/>
            </w:tcMar>
          </w:tcPr>
          <w:p>
            <w:pPr>
              <w:spacing w:after="0" w:line="250" w:lineRule="auto"/>
            </w:pPr>
            <w:r/>
            <w:r>
              <w:rPr>
                <w:rFonts w:ascii="Aptos" w:hAnsi="Aptos"/>
                <w:b w:val="0"/>
                <w:color w:val="1D2433"/>
                <w:sz w:val="14"/>
              </w:rPr>
              <w:t>https://quantum.appybook.com/booking</w:t>
            </w:r>
          </w:p>
        </w:tc>
        <w:tc>
          <w:tcPr>
            <w:tcW w:type="dxa" w:w="4710"/>
            <w:vAlign w:val="top"/>
            <w:tcMar>
              <w:top w:w="90" w:type="dxa"/>
              <w:start w:w="120" w:type="dxa"/>
              <w:bottom w:w="90" w:type="dxa"/>
              <w:end w:w="120" w:type="dxa"/>
            </w:tcMar>
          </w:tcPr>
          <w:p>
            <w:pPr>
              <w:spacing w:after="0" w:line="250" w:lineRule="auto"/>
            </w:pPr>
            <w:r/>
            <w:r>
              <w:rPr>
                <w:rFonts w:ascii="Aptos" w:hAnsi="Aptos"/>
                <w:b w:val="0"/>
                <w:color w:val="1D2433"/>
                <w:sz w:val="14"/>
              </w:rPr>
              <w:t>Current branded booking surface.</w:t>
            </w:r>
          </w:p>
        </w:tc>
      </w:tr>
      <w:tr>
        <w:tc>
          <w:tcPr>
            <w:tcW w:type="dxa" w:w="4650"/>
            <w:vAlign w:val="top"/>
            <w:shd w:fill="F6F8FB"/>
            <w:tcMar>
              <w:top w:w="90" w:type="dxa"/>
              <w:start w:w="120" w:type="dxa"/>
              <w:bottom w:w="90" w:type="dxa"/>
              <w:end w:w="120" w:type="dxa"/>
            </w:tcMar>
          </w:tcPr>
          <w:p>
            <w:pPr>
              <w:spacing w:after="0" w:line="250" w:lineRule="auto"/>
            </w:pPr>
            <w:r/>
            <w:r>
              <w:rPr>
                <w:rFonts w:ascii="Aptos" w:hAnsi="Aptos"/>
                <w:b w:val="0"/>
                <w:color w:val="1D2433"/>
                <w:sz w:val="14"/>
              </w:rPr>
              <w:t>https://www.quantumparks.com/vouchers-oferta/</w:t>
            </w:r>
          </w:p>
        </w:tc>
        <w:tc>
          <w:tcPr>
            <w:tcW w:type="dxa" w:w="4710"/>
            <w:vAlign w:val="top"/>
            <w:shd w:fill="F6F8FB"/>
            <w:tcMar>
              <w:top w:w="90" w:type="dxa"/>
              <w:start w:w="120" w:type="dxa"/>
              <w:bottom w:w="90" w:type="dxa"/>
              <w:end w:w="120" w:type="dxa"/>
            </w:tcMar>
          </w:tcPr>
          <w:p>
            <w:pPr>
              <w:spacing w:after="0" w:line="250" w:lineRule="auto"/>
            </w:pPr>
            <w:r/>
            <w:r>
              <w:rPr>
                <w:rFonts w:ascii="Aptos" w:hAnsi="Aptos"/>
                <w:b w:val="0"/>
                <w:color w:val="1D2433"/>
                <w:sz w:val="14"/>
              </w:rPr>
              <w:t>Current voucher products, one-year validity and cross-park use.</w:t>
            </w:r>
          </w:p>
        </w:tc>
      </w:tr>
      <w:tr>
        <w:tc>
          <w:tcPr>
            <w:tcW w:type="dxa" w:w="4650"/>
            <w:vAlign w:val="top"/>
            <w:tcMar>
              <w:top w:w="90" w:type="dxa"/>
              <w:start w:w="120" w:type="dxa"/>
              <w:bottom w:w="90" w:type="dxa"/>
              <w:end w:w="120" w:type="dxa"/>
            </w:tcMar>
          </w:tcPr>
          <w:p>
            <w:pPr>
              <w:spacing w:after="0" w:line="250" w:lineRule="auto"/>
            </w:pPr>
            <w:r/>
            <w:r>
              <w:rPr>
                <w:rFonts w:ascii="Aptos" w:hAnsi="Aptos"/>
                <w:b w:val="0"/>
                <w:color w:val="1D2433"/>
                <w:sz w:val="14"/>
              </w:rPr>
              <w:t>https://www.quantumparks.com/campo-de-ferias-lisboa-almada/</w:t>
            </w:r>
          </w:p>
        </w:tc>
        <w:tc>
          <w:tcPr>
            <w:tcW w:type="dxa" w:w="4710"/>
            <w:vAlign w:val="top"/>
            <w:tcMar>
              <w:top w:w="90" w:type="dxa"/>
              <w:start w:w="120" w:type="dxa"/>
              <w:bottom w:w="90" w:type="dxa"/>
              <w:end w:w="120" w:type="dxa"/>
            </w:tcMar>
          </w:tcPr>
          <w:p>
            <w:pPr>
              <w:spacing w:after="0" w:line="250" w:lineRule="auto"/>
            </w:pPr>
            <w:r/>
            <w:r>
              <w:rPr>
                <w:rFonts w:ascii="Aptos" w:hAnsi="Aptos"/>
                <w:b w:val="0"/>
                <w:color w:val="1D2433"/>
                <w:sz w:val="14"/>
              </w:rPr>
              <w:t>Camp audience and use case.</w:t>
            </w:r>
          </w:p>
        </w:tc>
      </w:tr>
      <w:tr>
        <w:tc>
          <w:tcPr>
            <w:tcW w:type="dxa" w:w="4650"/>
            <w:vAlign w:val="top"/>
            <w:shd w:fill="F6F8FB"/>
            <w:tcMar>
              <w:top w:w="90" w:type="dxa"/>
              <w:start w:w="120" w:type="dxa"/>
              <w:bottom w:w="90" w:type="dxa"/>
              <w:end w:w="120" w:type="dxa"/>
            </w:tcMar>
          </w:tcPr>
          <w:p>
            <w:pPr>
              <w:spacing w:after="0" w:line="250" w:lineRule="auto"/>
            </w:pPr>
            <w:r/>
            <w:r>
              <w:rPr>
                <w:rFonts w:ascii="Aptos" w:hAnsi="Aptos"/>
                <w:b w:val="0"/>
                <w:color w:val="1D2433"/>
                <w:sz w:val="14"/>
              </w:rPr>
              <w:t>https://www.quantumparks.com/precario-lisboa/</w:t>
            </w:r>
          </w:p>
        </w:tc>
        <w:tc>
          <w:tcPr>
            <w:tcW w:type="dxa" w:w="4710"/>
            <w:vAlign w:val="top"/>
            <w:shd w:fill="F6F8FB"/>
            <w:tcMar>
              <w:top w:w="90" w:type="dxa"/>
              <w:start w:w="120" w:type="dxa"/>
              <w:bottom w:w="90" w:type="dxa"/>
              <w:end w:w="120" w:type="dxa"/>
            </w:tcMar>
          </w:tcPr>
          <w:p>
            <w:pPr>
              <w:spacing w:after="0" w:line="250" w:lineRule="auto"/>
            </w:pPr>
            <w:r/>
            <w:r>
              <w:rPr>
                <w:rFonts w:ascii="Aptos" w:hAnsi="Aptos"/>
                <w:b w:val="0"/>
                <w:color w:val="1D2433"/>
                <w:sz w:val="14"/>
              </w:rPr>
              <w:t>Representative activity and ancillary product structure.</w:t>
            </w:r>
          </w:p>
        </w:tc>
      </w:tr>
    </w:tbl>
    <w:p>
      <w:pPr>
        <w:spacing w:after="20"/>
      </w:pPr>
    </w:p>
    <w:p>
      <w:pPr>
        <w:pStyle w:val="Heading1"/>
        <w:keepNext/>
      </w:pPr>
      <w:r>
        <w:t>31. Final product mandate</w:t>
      </w:r>
    </w:p>
    <w:p>
      <w:r>
        <w:rPr>
          <w:rFonts w:ascii="Aptos" w:hAnsi="Aptos"/>
          <w:b w:val="0"/>
          <w:i w:val="0"/>
          <w:color w:val="1D2433"/>
          <w:sz w:val="19"/>
        </w:rPr>
        <w:t>Quantum Club must leave Quantum Park with a complete, owned and operable production capability—not a generic loyalty-card clone. The system must recognise households safely, connect real commercial and attendance activity, calculate value deterministically, communicate with consent, support park teams at operational speed, reconcile money and entitlements, measure business impact honestly and survive provider or infrastructure failure without corrupting customer trust.</w:t>
      </w:r>
    </w:p>
    <w:p>
      <w:r>
        <w:rPr>
          <w:rFonts w:ascii="Aptos" w:hAnsi="Aptos"/>
          <w:b w:val="0"/>
          <w:i w:val="0"/>
          <w:color w:val="1D2433"/>
          <w:sz w:val="19"/>
        </w:rPr>
        <w:t>The implementation is accepted only when the platform can be run, audited, restored and evolved by Quantum Park under the production gates in this document. No required capability may be silently replaced with a mock, manual database edit, unreviewed vendor dashboard, undocumented script or “future phase” note.</w:t>
      </w:r>
    </w:p>
    <w:p>
      <w:pPr>
        <w:spacing w:before="100" w:after="140" w:line="259" w:lineRule="auto"/>
        <w:ind w:left="160" w:right="160"/>
        <w:shd w:fill="E8EEF5"/>
        <w:pBdr>
          <w:top w:val="single" w:sz="6" w:space="5" w:color="AAB4C3"/>
          <w:left w:val="single" w:sz="6" w:space="5" w:color="AAB4C3"/>
          <w:bottom w:val="single" w:sz="6" w:space="5" w:color="AAB4C3"/>
          <w:right w:val="single" w:sz="6" w:space="5" w:color="AAB4C3"/>
        </w:pBdr>
      </w:pPr>
      <w:r>
        <w:rPr>
          <w:rFonts w:ascii="Aptos" w:hAnsi="Aptos"/>
          <w:b/>
          <w:color w:val="00A6A6"/>
          <w:sz w:val="16"/>
        </w:rPr>
        <w:t xml:space="preserve">AUTHORITATIVE STATEMENT  </w:t>
      </w:r>
      <w:r>
        <w:rPr>
          <w:rFonts w:ascii="Aptos" w:hAnsi="Aptos"/>
          <w:b w:val="0"/>
          <w:color w:val="1D2433"/>
          <w:sz w:val="18"/>
        </w:rPr>
        <w:t>Build Quantum Club once as a complete production service. Decompose internally, verify continuously, cut over safely, and deliver every defined capability and control.</w:t>
      </w:r>
    </w:p>
    <w:sectPr w:rsidR="00FC693F" w:rsidRPr="0006063C" w:rsidSect="00034616">
      <w:headerReference w:type="default" r:id="rId9"/>
      <w:footerReference w:type="default" r:id="rId10"/>
      <w:pgSz w:w="12240" w:h="15840"/>
      <w:pgMar w:top="1181" w:right="1296" w:bottom="1123" w:left="1296"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ptos" w:hAnsi="Aptos"/>
        <w:b w:val="0"/>
        <w:color w:val="667085"/>
        <w:sz w:val="15"/>
      </w:rPr>
      <w:t xml:space="preserve">Quantum Park Loyalty Platform  •  v1.0  •  </w:t>
    </w:r>
    <w:r>
      <w:fldChar w:fldCharType="begin"/>
      <w:instrText xml:space="preserve">PAGE</w:instrText>
      <w:fldChar w:fldCharType="end"/>
    </w:r>
    <w:r>
      <w:rPr>
        <w:rFonts w:ascii="Aptos" w:hAnsi="Aptos"/>
        <w:b w:val="0"/>
        <w:color w:val="667085"/>
        <w:sz w:val="15"/>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ptos" w:hAnsi="Aptos"/>
        <w:b/>
        <w:color w:val="667085"/>
        <w:sz w:val="14"/>
      </w:rPr>
      <w:t>QUANTUM PARK  |  PRODUCT REQUIREMENTS DOCUMENT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1D24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B2545"/>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5A3EC8"/>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B2545"/>
      <w:sz w:val="23"/>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ascii="Aptos Display" w:hAnsi="Aptos Display"/>
      <w:b/>
      <w:bCs/>
      <w:i/>
      <w:iCs/>
      <w:color w:val="00A6A6"/>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Aptos" w:hAnsi="Aptos"/>
      <w:sz w:val="19"/>
    </w:rPr>
  </w:style>
  <w:style w:type="paragraph" w:styleId="ListBullet2">
    <w:name w:val="List Bullet 2"/>
    <w:basedOn w:val="Normal"/>
    <w:uiPriority w:val="99"/>
    <w:unhideWhenUsed/>
    <w:rsid w:val="00326F90"/>
    <w:pPr>
      <w:numPr>
        <w:numId w:val="2"/>
      </w:numPr>
      <w:spacing w:after="60" w:line="264" w:lineRule="auto"/>
      <w:contextualSpacing/>
    </w:pPr>
    <w:rPr>
      <w:rFonts w:ascii="Aptos" w:hAnsi="Apto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Aptos" w:hAnsi="Aptos"/>
      <w:sz w:val="19"/>
    </w:rPr>
  </w:style>
  <w:style w:type="paragraph" w:styleId="ListNumber2">
    <w:name w:val="List Number 2"/>
    <w:basedOn w:val="Normal"/>
    <w:uiPriority w:val="99"/>
    <w:unhideWhenUsed/>
    <w:rsid w:val="0029639D"/>
    <w:pPr>
      <w:numPr>
        <w:numId w:val="6"/>
      </w:numPr>
      <w:spacing w:after="60" w:line="264" w:lineRule="auto"/>
      <w:contextualSpacing/>
    </w:pPr>
    <w:rPr>
      <w:rFonts w:ascii="Aptos" w:hAnsi="Aptos"/>
      <w:sz w:val="19"/>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RequirementID">
    <w:name w:val="Requirement ID"/>
    <w:rPr>
      <w:rFonts w:ascii="Aptos Mono" w:hAnsi="Aptos Mono"/>
      <w:b/>
      <w:color w:val="5A3EC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 Club — Production Product Requirements Document</dc:title>
  <dc:subject>In-house loyalty, CRM, membership and engagement platform for Quantum Park</dc:subject>
  <dc:creator>Quantum Park</dc:creator>
  <cp:keywords>Quantum Park, Quantum Club, PRD, loyalty, CRM, production, RGPD</cp:keywords>
  <dc:description>Production specification v1.0 — 22 July 2026</dc:description>
  <cp:lastModifiedBy/>
  <cp:revision>1</cp:revision>
  <dcterms:created xsi:type="dcterms:W3CDTF">2013-12-23T23:15:00Z</dcterms:created>
  <dcterms:modified xsi:type="dcterms:W3CDTF">2013-12-23T23:15:00Z</dcterms:modified>
  <cp:category/>
</cp:coreProperties>
</file>