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166"/>
      </w:tblGrid>
      <w:tr>
        <w:tc>
          <w:tcPr>
            <w:tcW w:type="dxa" w:w="10080"/>
            <w:shd w:fill="12304A"/>
            <w:tcMar>
              <w:top w:w="340" w:type="dxa"/>
              <w:start w:w="340" w:type="dxa"/>
              <w:bottom w:w="340" w:type="dxa"/>
              <w:end w:w="340" w:type="dxa"/>
            </w:tcMar>
          </w:tcPr>
          <w:p>
            <w:pPr>
              <w:spacing w:after="160"/>
              <w:jc w:val="left"/>
            </w:pPr>
            <w:r>
              <w:rPr>
                <w:rFonts w:ascii="Arial" w:hAnsi="Arial"/>
                <w:b/>
                <w:color w:val="F4C56A"/>
                <w:sz w:val="20"/>
              </w:rPr>
              <w:t>PRODUCT REQUIREMENTS DOCUMENT</w:t>
            </w:r>
          </w:p>
          <w:p>
            <w:pPr>
              <w:spacing w:after="80"/>
            </w:pPr>
            <w:r>
              <w:rPr>
                <w:rFonts w:ascii="Arial" w:hAnsi="Arial"/>
                <w:b/>
                <w:color w:val="FFFFFF"/>
                <w:sz w:val="56"/>
              </w:rPr>
              <w:t>Quantum Parks</w:t>
            </w:r>
          </w:p>
          <w:p>
            <w:pPr>
              <w:spacing w:after="160"/>
            </w:pPr>
            <w:r>
              <w:rPr>
                <w:rFonts w:ascii="Arial" w:hAnsi="Arial"/>
                <w:b/>
                <w:color w:val="FFFFFF"/>
                <w:sz w:val="38"/>
              </w:rPr>
              <w:t>ElevenLabs-Powered AI Receptionist</w:t>
              <w:br/>
              <w:t>Control &amp; Intelligence Platform</w:t>
            </w:r>
          </w:p>
          <w:p>
            <w:pPr>
              <w:spacing w:after="0"/>
            </w:pPr>
            <w:r>
              <w:rPr>
                <w:rFonts w:ascii="Arial" w:hAnsi="Arial"/>
                <w:color w:val="D7E6F2"/>
                <w:sz w:val="23"/>
              </w:rPr>
              <w:t>From live voice conversations to governed knowledge, operational control and business intelligence</w:t>
            </w:r>
          </w:p>
        </w:tc>
      </w:tr>
    </w:tbl>
    <w:p>
      <w:pPr>
        <w:spacing w:after="160"/>
      </w:pPr>
    </w:p>
    <w:p>
      <w:pPr>
        <w:spacing w:after="80"/>
        <w:jc w:val="center"/>
      </w:pPr>
      <w:r>
        <w:drawing>
          <wp:inline xmlns:a="http://schemas.openxmlformats.org/drawingml/2006/main" xmlns:pic="http://schemas.openxmlformats.org/drawingml/2006/picture">
            <wp:extent cx="6126480" cy="856747"/>
            <wp:docPr id="1" name="Picture 1" descr="System context showing the Quantum Parks application controlling ElevenLabs and receiving call data." title="System context showing the Quantum Parks application controlling ElevenLabs and receiving call data."/>
            <wp:cNvGraphicFramePr>
              <a:graphicFrameLocks noChangeAspect="1"/>
            </wp:cNvGraphicFramePr>
            <a:graphic>
              <a:graphicData uri="http://schemas.openxmlformats.org/drawingml/2006/picture">
                <pic:pic>
                  <pic:nvPicPr>
                    <pic:cNvPr id="0" name="system_context.png"/>
                    <pic:cNvPicPr/>
                  </pic:nvPicPr>
                  <pic:blipFill>
                    <a:blip r:embed="rId12"/>
                    <a:stretch>
                      <a:fillRect/>
                    </a:stretch>
                  </pic:blipFill>
                  <pic:spPr>
                    <a:xfrm>
                      <a:off x="0" y="0"/>
                      <a:ext cx="6126480" cy="856747"/>
                    </a:xfrm>
                    <a:prstGeom prst="rect"/>
                  </pic:spPr>
                </pic:pic>
              </a:graphicData>
            </a:graphic>
          </wp:inline>
        </w:drawing>
      </w:r>
    </w:p>
    <w:p>
      <w:pPr>
        <w:pStyle w:val="PRDCaption"/>
        <w:spacing w:after="160"/>
        <w:jc w:val="center"/>
      </w:pPr>
      <w:r>
        <w:rPr>
          <w:rFonts w:ascii="Arial" w:hAnsi="Arial"/>
          <w:i/>
          <w:color w:val="5E6C7B"/>
          <w:sz w:val="17"/>
        </w:rPr>
        <w:t>Figure 1. Corrected product model: ElevenLabs runs the live voice agent; the Quantum Parks platform controls, governs and learns from it.</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2232"/>
        <w:gridCol w:w="7704"/>
      </w:tblGrid>
      <w:tr>
        <w:trPr>
          <w:tblHeader w:val="true"/>
        </w:trPr>
        <w:tc>
          <w:tcPr>
            <w:tcW w:type="dxa" w:w="2232"/>
            <w:shd w:fill="178C83"/>
            <w:tcMar>
              <w:top w:w="100" w:type="dxa"/>
              <w:start w:w="100" w:type="dxa"/>
              <w:bottom w:w="100" w:type="dxa"/>
              <w:end w:w="100" w:type="dxa"/>
            </w:tcMar>
            <w:vAlign w:val="center"/>
          </w:tcPr>
          <w:p>
            <w:pPr>
              <w:spacing w:after="0"/>
              <w:jc w:val="center"/>
            </w:pPr>
            <w:r>
              <w:rPr>
                <w:rFonts w:ascii="Arial" w:hAnsi="Arial"/>
                <w:b/>
                <w:color w:val="FFFFFF"/>
                <w:sz w:val="18"/>
              </w:rPr>
              <w:t>Document control</w:t>
            </w:r>
          </w:p>
        </w:tc>
        <w:tc>
          <w:tcPr>
            <w:tcW w:type="dxa" w:w="7703"/>
            <w:shd w:fill="178C83"/>
            <w:tcMar>
              <w:top w:w="100" w:type="dxa"/>
              <w:start w:w="100" w:type="dxa"/>
              <w:bottom w:w="100" w:type="dxa"/>
              <w:end w:w="100" w:type="dxa"/>
            </w:tcMar>
            <w:vAlign w:val="center"/>
          </w:tcPr>
          <w:p>
            <w:pPr>
              <w:spacing w:after="0"/>
              <w:jc w:val="center"/>
            </w:pPr>
            <w:r>
              <w:rPr>
                <w:rFonts w:ascii="Arial" w:hAnsi="Arial"/>
                <w:b/>
                <w:color w:val="FFFFFF"/>
                <w:sz w:val="18"/>
              </w:rPr>
              <w:t>Value</w:t>
            </w:r>
          </w:p>
        </w:tc>
      </w:tr>
      <w:tr>
        <w:tc>
          <w:tcPr>
            <w:tcW w:type="dxa" w:w="2232"/>
            <w:tcMar>
              <w:top w:w="90" w:type="dxa"/>
              <w:start w:w="100" w:type="dxa"/>
              <w:bottom w:w="90" w:type="dxa"/>
              <w:end w:w="100" w:type="dxa"/>
            </w:tcMar>
            <w:vAlign w:val="center"/>
          </w:tcPr>
          <w:p>
            <w:pPr>
              <w:spacing w:after="0" w:line="247" w:lineRule="auto"/>
            </w:pPr>
            <w:r>
              <w:rPr>
                <w:rFonts w:ascii="Arial" w:hAnsi="Arial"/>
                <w:b/>
                <w:color w:val="1F2937"/>
                <w:sz w:val="18"/>
              </w:rPr>
              <w:t>Document status</w:t>
            </w:r>
          </w:p>
        </w:tc>
        <w:tc>
          <w:tcPr>
            <w:tcW w:type="dxa" w:w="7703"/>
            <w:tcMar>
              <w:top w:w="90" w:type="dxa"/>
              <w:start w:w="100" w:type="dxa"/>
              <w:bottom w:w="90" w:type="dxa"/>
              <w:end w:w="100" w:type="dxa"/>
            </w:tcMar>
            <w:vAlign w:val="center"/>
          </w:tcPr>
          <w:p>
            <w:pPr>
              <w:spacing w:after="0" w:line="247" w:lineRule="auto"/>
            </w:pPr>
            <w:r>
              <w:rPr>
                <w:rFonts w:ascii="Arial" w:hAnsi="Arial"/>
                <w:b w:val="0"/>
                <w:color w:val="1F2937"/>
                <w:sz w:val="18"/>
              </w:rPr>
              <w:t>Stakeholder review</w:t>
            </w:r>
          </w:p>
        </w:tc>
      </w:tr>
      <w:tr>
        <w:tc>
          <w:tcPr>
            <w:tcW w:type="dxa" w:w="2232"/>
            <w:tcMar>
              <w:top w:w="90" w:type="dxa"/>
              <w:start w:w="100" w:type="dxa"/>
              <w:bottom w:w="90" w:type="dxa"/>
              <w:end w:w="100" w:type="dxa"/>
            </w:tcMar>
            <w:vAlign w:val="center"/>
            <w:shd w:fill="FAFBFC"/>
          </w:tcPr>
          <w:p>
            <w:pPr>
              <w:spacing w:after="0" w:line="247" w:lineRule="auto"/>
            </w:pPr>
            <w:r>
              <w:rPr>
                <w:rFonts w:ascii="Arial" w:hAnsi="Arial"/>
                <w:b/>
                <w:color w:val="1F2937"/>
                <w:sz w:val="18"/>
              </w:rPr>
              <w:t>Version</w:t>
            </w:r>
          </w:p>
        </w:tc>
        <w:tc>
          <w:tcPr>
            <w:tcW w:type="dxa" w:w="7703"/>
            <w:tcMar>
              <w:top w:w="90" w:type="dxa"/>
              <w:start w:w="100" w:type="dxa"/>
              <w:bottom w:w="90" w:type="dxa"/>
              <w:end w:w="100" w:type="dxa"/>
            </w:tcMar>
            <w:vAlign w:val="center"/>
            <w:shd w:fill="FAFBFC"/>
          </w:tcPr>
          <w:p>
            <w:pPr>
              <w:spacing w:after="0" w:line="247" w:lineRule="auto"/>
            </w:pPr>
            <w:r>
              <w:rPr>
                <w:rFonts w:ascii="Arial" w:hAnsi="Arial"/>
                <w:b w:val="0"/>
                <w:color w:val="1F2937"/>
                <w:sz w:val="18"/>
              </w:rPr>
              <w:t>2.0 - Supersedes PRD v1.0</w:t>
            </w:r>
          </w:p>
        </w:tc>
      </w:tr>
      <w:tr>
        <w:tc>
          <w:tcPr>
            <w:tcW w:type="dxa" w:w="2232"/>
            <w:tcMar>
              <w:top w:w="90" w:type="dxa"/>
              <w:start w:w="100" w:type="dxa"/>
              <w:bottom w:w="90" w:type="dxa"/>
              <w:end w:w="100" w:type="dxa"/>
            </w:tcMar>
            <w:vAlign w:val="center"/>
          </w:tcPr>
          <w:p>
            <w:pPr>
              <w:spacing w:after="0" w:line="247" w:lineRule="auto"/>
            </w:pPr>
            <w:r>
              <w:rPr>
                <w:rFonts w:ascii="Arial" w:hAnsi="Arial"/>
                <w:b/>
                <w:color w:val="1F2937"/>
                <w:sz w:val="18"/>
              </w:rPr>
              <w:t>Prepared for</w:t>
            </w:r>
          </w:p>
        </w:tc>
        <w:tc>
          <w:tcPr>
            <w:tcW w:type="dxa" w:w="7703"/>
            <w:tcMar>
              <w:top w:w="90" w:type="dxa"/>
              <w:start w:w="100" w:type="dxa"/>
              <w:bottom w:w="90" w:type="dxa"/>
              <w:end w:w="100" w:type="dxa"/>
            </w:tcMar>
            <w:vAlign w:val="center"/>
          </w:tcPr>
          <w:p>
            <w:pPr>
              <w:spacing w:after="0" w:line="247" w:lineRule="auto"/>
            </w:pPr>
            <w:r>
              <w:rPr>
                <w:rFonts w:ascii="Arial" w:hAnsi="Arial"/>
                <w:b w:val="0"/>
                <w:color w:val="1F2937"/>
                <w:sz w:val="18"/>
              </w:rPr>
              <w:t>Quantum Parks leadership, operations, IT, customer service and delivery teams</w:t>
            </w:r>
          </w:p>
        </w:tc>
      </w:tr>
      <w:tr>
        <w:tc>
          <w:tcPr>
            <w:tcW w:type="dxa" w:w="2232"/>
            <w:tcMar>
              <w:top w:w="90" w:type="dxa"/>
              <w:start w:w="100" w:type="dxa"/>
              <w:bottom w:w="90" w:type="dxa"/>
              <w:end w:w="100" w:type="dxa"/>
            </w:tcMar>
            <w:vAlign w:val="center"/>
            <w:shd w:fill="FAFBFC"/>
          </w:tcPr>
          <w:p>
            <w:pPr>
              <w:spacing w:after="0" w:line="247" w:lineRule="auto"/>
            </w:pPr>
            <w:r>
              <w:rPr>
                <w:rFonts w:ascii="Arial" w:hAnsi="Arial"/>
                <w:b/>
                <w:color w:val="1F2937"/>
                <w:sz w:val="18"/>
              </w:rPr>
              <w:t>Date</w:t>
            </w:r>
          </w:p>
        </w:tc>
        <w:tc>
          <w:tcPr>
            <w:tcW w:type="dxa" w:w="7703"/>
            <w:tcMar>
              <w:top w:w="90" w:type="dxa"/>
              <w:start w:w="100" w:type="dxa"/>
              <w:bottom w:w="90" w:type="dxa"/>
              <w:end w:w="100" w:type="dxa"/>
            </w:tcMar>
            <w:vAlign w:val="center"/>
            <w:shd w:fill="FAFBFC"/>
          </w:tcPr>
          <w:p>
            <w:pPr>
              <w:spacing w:after="0" w:line="247" w:lineRule="auto"/>
            </w:pPr>
            <w:r>
              <w:rPr>
                <w:rFonts w:ascii="Arial" w:hAnsi="Arial"/>
                <w:b w:val="0"/>
                <w:color w:val="1F2937"/>
                <w:sz w:val="18"/>
              </w:rPr>
              <w:t>22 July 2026</w:t>
            </w:r>
          </w:p>
        </w:tc>
      </w:tr>
    </w:tbl>
    <w:p>
      <w:pPr>
        <w:spacing w:after="40"/>
      </w:pPr>
    </w:p>
    <w:tbl>
      <w:tblPr>
        <w:tblW w:type="auto" w:w="0"/>
        <w:jc w:val="center"/>
        <w:tblLayout w:type="fixed"/>
        <w:tblLook w:firstColumn="1" w:firstRow="1" w:lastColumn="0" w:lastRow="0" w:noHBand="0" w:noVBand="1" w:val="04A0"/>
      </w:tblPr>
      <w:tblGrid>
        <w:gridCol w:w="173"/>
        <w:gridCol w:w="9720"/>
      </w:tblGrid>
      <w:tr>
        <w:tc>
          <w:tcPr>
            <w:tcW w:type="dxa" w:w="172"/>
            <w:shd w:fill="B57D1D"/>
            <w:tcMar>
              <w:top w:w="120" w:type="dxa"/>
              <w:start w:w="120" w:type="dxa"/>
              <w:bottom w:w="120" w:type="dxa"/>
              <w:end w:w="120" w:type="dxa"/>
            </w:tcMar>
            <w:vAlign w:val="center"/>
          </w:tcPr>
          <w:p/>
        </w:tc>
        <w:tc>
          <w:tcPr>
            <w:tcW w:type="dxa" w:w="9720"/>
            <w:shd w:fill="FFF8E7"/>
            <w:tcMar>
              <w:top w:w="120" w:type="dxa"/>
              <w:start w:w="120" w:type="dxa"/>
              <w:bottom w:w="120" w:type="dxa"/>
              <w:end w:w="120" w:type="dxa"/>
            </w:tcMar>
            <w:vAlign w:val="center"/>
          </w:tcPr>
          <w:p>
            <w:pPr>
              <w:spacing w:after="40"/>
            </w:pPr>
            <w:r>
              <w:rPr>
                <w:rFonts w:ascii="Arial" w:hAnsi="Arial"/>
                <w:b/>
                <w:color w:val="B57D1D"/>
                <w:sz w:val="19"/>
              </w:rPr>
              <w:t>PURPOSE OF THIS REVISION</w:t>
            </w:r>
          </w:p>
          <w:p>
            <w:pPr>
              <w:spacing w:after="0" w:line="259" w:lineRule="auto"/>
            </w:pPr>
            <w:r>
              <w:rPr>
                <w:rFonts w:ascii="Arial" w:hAnsi="Arial"/>
                <w:color w:val="1F2937"/>
                <w:sz w:val="20"/>
              </w:rPr>
              <w:t>This PRD replaces the earlier assumption that Quantum Parks would build a custom AI phone system. ElevenLabs is now the managed voice-agent runtime. The Quantum Parks application is the user-facing control plane, knowledge system, testing environment, integration layer, canonical call-history store and intelligence platform. Normal users manage the entire receptionist through the Quantum Parks application without needing the ElevenLabs console.</w:t>
            </w:r>
          </w:p>
        </w:tc>
      </w:tr>
    </w:tbl>
    <w:p>
      <w:pPr>
        <w:spacing w:after="40"/>
      </w:pPr>
    </w:p>
    <w:p>
      <w:r>
        <w:br w:type="page"/>
      </w:r>
    </w:p>
    <w:p>
      <w:pPr>
        <w:pStyle w:val="Heading1"/>
        <w:keepNext/>
      </w:pPr>
      <w:r>
        <w:rPr>
          <w:rFonts w:ascii="Arial" w:hAnsi="Arial"/>
        </w:rPr>
        <w:t>Contents and document map</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1080"/>
        <w:gridCol w:w="8856"/>
      </w:tblGrid>
      <w:tr>
        <w:trPr>
          <w:tblHeader w:val="true"/>
        </w:trPr>
        <w:tc>
          <w:tcPr>
            <w:tcW w:type="dxa" w:w="1080"/>
            <w:shd w:fill="12304A"/>
            <w:tcMar>
              <w:top w:w="100" w:type="dxa"/>
              <w:start w:w="100" w:type="dxa"/>
              <w:bottom w:w="100" w:type="dxa"/>
              <w:end w:w="100" w:type="dxa"/>
            </w:tcMar>
            <w:vAlign w:val="center"/>
          </w:tcPr>
          <w:p>
            <w:pPr>
              <w:spacing w:after="0"/>
              <w:jc w:val="center"/>
            </w:pPr>
            <w:r>
              <w:rPr>
                <w:rFonts w:ascii="Arial" w:hAnsi="Arial"/>
                <w:b/>
                <w:color w:val="FFFFFF"/>
                <w:sz w:val="18"/>
              </w:rPr>
              <w:t>Section</w:t>
            </w:r>
          </w:p>
        </w:tc>
        <w:tc>
          <w:tcPr>
            <w:tcW w:type="dxa" w:w="8856"/>
            <w:shd w:fill="12304A"/>
            <w:tcMar>
              <w:top w:w="100" w:type="dxa"/>
              <w:start w:w="100" w:type="dxa"/>
              <w:bottom w:w="100" w:type="dxa"/>
              <w:end w:w="100" w:type="dxa"/>
            </w:tcMar>
            <w:vAlign w:val="center"/>
          </w:tcPr>
          <w:p>
            <w:pPr>
              <w:spacing w:after="0"/>
              <w:jc w:val="center"/>
            </w:pPr>
            <w:r>
              <w:rPr>
                <w:rFonts w:ascii="Arial" w:hAnsi="Arial"/>
                <w:b/>
                <w:color w:val="FFFFFF"/>
                <w:sz w:val="18"/>
              </w:rPr>
              <w:t>Topic</w:t>
            </w:r>
          </w:p>
        </w:tc>
      </w:tr>
      <w:tr>
        <w:tc>
          <w:tcPr>
            <w:tcW w:type="dxa" w:w="1080"/>
            <w:tcMar>
              <w:top w:w="90" w:type="dxa"/>
              <w:start w:w="100" w:type="dxa"/>
              <w:bottom w:w="90" w:type="dxa"/>
              <w:end w:w="100" w:type="dxa"/>
            </w:tcMar>
            <w:vAlign w:val="center"/>
          </w:tcPr>
          <w:p>
            <w:pPr>
              <w:spacing w:after="0" w:line="247" w:lineRule="auto"/>
            </w:pPr>
            <w:r>
              <w:rPr>
                <w:rFonts w:ascii="Arial" w:hAnsi="Arial"/>
                <w:b/>
                <w:color w:val="1F2937"/>
                <w:sz w:val="18"/>
              </w:rPr>
              <w:t>1</w:t>
            </w:r>
          </w:p>
        </w:tc>
        <w:tc>
          <w:tcPr>
            <w:tcW w:type="dxa" w:w="8856"/>
            <w:tcMar>
              <w:top w:w="90" w:type="dxa"/>
              <w:start w:w="100" w:type="dxa"/>
              <w:bottom w:w="90" w:type="dxa"/>
              <w:end w:w="100" w:type="dxa"/>
            </w:tcMar>
            <w:vAlign w:val="center"/>
          </w:tcPr>
          <w:p>
            <w:pPr>
              <w:spacing w:after="0" w:line="247" w:lineRule="auto"/>
            </w:pPr>
            <w:r>
              <w:rPr>
                <w:rFonts w:ascii="Arial" w:hAnsi="Arial"/>
                <w:b w:val="0"/>
                <w:color w:val="1F2937"/>
                <w:sz w:val="18"/>
              </w:rPr>
              <w:t>Executive summary</w:t>
            </w:r>
          </w:p>
        </w:tc>
      </w:tr>
      <w:tr>
        <w:tc>
          <w:tcPr>
            <w:tcW w:type="dxa" w:w="1080"/>
            <w:tcMar>
              <w:top w:w="90" w:type="dxa"/>
              <w:start w:w="100" w:type="dxa"/>
              <w:bottom w:w="90" w:type="dxa"/>
              <w:end w:w="100" w:type="dxa"/>
            </w:tcMar>
            <w:vAlign w:val="center"/>
            <w:shd w:fill="FAFBFC"/>
          </w:tcPr>
          <w:p>
            <w:pPr>
              <w:spacing w:after="0" w:line="247" w:lineRule="auto"/>
            </w:pPr>
            <w:r>
              <w:rPr>
                <w:rFonts w:ascii="Arial" w:hAnsi="Arial"/>
                <w:b/>
                <w:color w:val="1F2937"/>
                <w:sz w:val="18"/>
              </w:rPr>
              <w:t>2</w:t>
            </w:r>
          </w:p>
        </w:tc>
        <w:tc>
          <w:tcPr>
            <w:tcW w:type="dxa" w:w="8856"/>
            <w:tcMar>
              <w:top w:w="90" w:type="dxa"/>
              <w:start w:w="100" w:type="dxa"/>
              <w:bottom w:w="90" w:type="dxa"/>
              <w:end w:w="100" w:type="dxa"/>
            </w:tcMar>
            <w:vAlign w:val="center"/>
            <w:shd w:fill="FAFBFC"/>
          </w:tcPr>
          <w:p>
            <w:pPr>
              <w:spacing w:after="0" w:line="247" w:lineRule="auto"/>
            </w:pPr>
            <w:r>
              <w:rPr>
                <w:rFonts w:ascii="Arial" w:hAnsi="Arial"/>
                <w:b w:val="0"/>
                <w:color w:val="1F2937"/>
                <w:sz w:val="18"/>
              </w:rPr>
              <w:t>Corrected product definition and system boundary</w:t>
            </w:r>
          </w:p>
        </w:tc>
      </w:tr>
      <w:tr>
        <w:tc>
          <w:tcPr>
            <w:tcW w:type="dxa" w:w="1080"/>
            <w:tcMar>
              <w:top w:w="90" w:type="dxa"/>
              <w:start w:w="100" w:type="dxa"/>
              <w:bottom w:w="90" w:type="dxa"/>
              <w:end w:w="100" w:type="dxa"/>
            </w:tcMar>
            <w:vAlign w:val="center"/>
          </w:tcPr>
          <w:p>
            <w:pPr>
              <w:spacing w:after="0" w:line="247" w:lineRule="auto"/>
            </w:pPr>
            <w:r>
              <w:rPr>
                <w:rFonts w:ascii="Arial" w:hAnsi="Arial"/>
                <w:b/>
                <w:color w:val="1F2937"/>
                <w:sz w:val="18"/>
              </w:rPr>
              <w:t>3</w:t>
            </w:r>
          </w:p>
        </w:tc>
        <w:tc>
          <w:tcPr>
            <w:tcW w:type="dxa" w:w="8856"/>
            <w:tcMar>
              <w:top w:w="90" w:type="dxa"/>
              <w:start w:w="100" w:type="dxa"/>
              <w:bottom w:w="90" w:type="dxa"/>
              <w:end w:w="100" w:type="dxa"/>
            </w:tcMar>
            <w:vAlign w:val="center"/>
          </w:tcPr>
          <w:p>
            <w:pPr>
              <w:spacing w:after="0" w:line="247" w:lineRule="auto"/>
            </w:pPr>
            <w:r>
              <w:rPr>
                <w:rFonts w:ascii="Arial" w:hAnsi="Arial"/>
                <w:b w:val="0"/>
                <w:color w:val="1F2937"/>
                <w:sz w:val="18"/>
              </w:rPr>
              <w:t>Business context, vision and objectives</w:t>
            </w:r>
          </w:p>
        </w:tc>
      </w:tr>
      <w:tr>
        <w:tc>
          <w:tcPr>
            <w:tcW w:type="dxa" w:w="1080"/>
            <w:tcMar>
              <w:top w:w="90" w:type="dxa"/>
              <w:start w:w="100" w:type="dxa"/>
              <w:bottom w:w="90" w:type="dxa"/>
              <w:end w:w="100" w:type="dxa"/>
            </w:tcMar>
            <w:vAlign w:val="center"/>
            <w:shd w:fill="FAFBFC"/>
          </w:tcPr>
          <w:p>
            <w:pPr>
              <w:spacing w:after="0" w:line="247" w:lineRule="auto"/>
            </w:pPr>
            <w:r>
              <w:rPr>
                <w:rFonts w:ascii="Arial" w:hAnsi="Arial"/>
                <w:b/>
                <w:color w:val="1F2937"/>
                <w:sz w:val="18"/>
              </w:rPr>
              <w:t>4</w:t>
            </w:r>
          </w:p>
        </w:tc>
        <w:tc>
          <w:tcPr>
            <w:tcW w:type="dxa" w:w="8856"/>
            <w:tcMar>
              <w:top w:w="90" w:type="dxa"/>
              <w:start w:w="100" w:type="dxa"/>
              <w:bottom w:w="90" w:type="dxa"/>
              <w:end w:w="100" w:type="dxa"/>
            </w:tcMar>
            <w:vAlign w:val="center"/>
            <w:shd w:fill="FAFBFC"/>
          </w:tcPr>
          <w:p>
            <w:pPr>
              <w:spacing w:after="0" w:line="247" w:lineRule="auto"/>
            </w:pPr>
            <w:r>
              <w:rPr>
                <w:rFonts w:ascii="Arial" w:hAnsi="Arial"/>
                <w:b w:val="0"/>
                <w:color w:val="1F2937"/>
                <w:sz w:val="18"/>
              </w:rPr>
              <w:t>Product principles, scope and non-goals</w:t>
            </w:r>
          </w:p>
        </w:tc>
      </w:tr>
      <w:tr>
        <w:tc>
          <w:tcPr>
            <w:tcW w:type="dxa" w:w="1080"/>
            <w:tcMar>
              <w:top w:w="90" w:type="dxa"/>
              <w:start w:w="100" w:type="dxa"/>
              <w:bottom w:w="90" w:type="dxa"/>
              <w:end w:w="100" w:type="dxa"/>
            </w:tcMar>
            <w:vAlign w:val="center"/>
          </w:tcPr>
          <w:p>
            <w:pPr>
              <w:spacing w:after="0" w:line="247" w:lineRule="auto"/>
            </w:pPr>
            <w:r>
              <w:rPr>
                <w:rFonts w:ascii="Arial" w:hAnsi="Arial"/>
                <w:b/>
                <w:color w:val="1F2937"/>
                <w:sz w:val="18"/>
              </w:rPr>
              <w:t>5</w:t>
            </w:r>
          </w:p>
        </w:tc>
        <w:tc>
          <w:tcPr>
            <w:tcW w:type="dxa" w:w="8856"/>
            <w:tcMar>
              <w:top w:w="90" w:type="dxa"/>
              <w:start w:w="100" w:type="dxa"/>
              <w:bottom w:w="90" w:type="dxa"/>
              <w:end w:w="100" w:type="dxa"/>
            </w:tcMar>
            <w:vAlign w:val="center"/>
          </w:tcPr>
          <w:p>
            <w:pPr>
              <w:spacing w:after="0" w:line="247" w:lineRule="auto"/>
            </w:pPr>
            <w:r>
              <w:rPr>
                <w:rFonts w:ascii="Arial" w:hAnsi="Arial"/>
                <w:b w:val="0"/>
                <w:color w:val="1F2937"/>
                <w:sz w:val="18"/>
              </w:rPr>
              <w:t>Users, roles and permissions</w:t>
            </w:r>
          </w:p>
        </w:tc>
      </w:tr>
      <w:tr>
        <w:tc>
          <w:tcPr>
            <w:tcW w:type="dxa" w:w="1080"/>
            <w:tcMar>
              <w:top w:w="90" w:type="dxa"/>
              <w:start w:w="100" w:type="dxa"/>
              <w:bottom w:w="90" w:type="dxa"/>
              <w:end w:w="100" w:type="dxa"/>
            </w:tcMar>
            <w:vAlign w:val="center"/>
            <w:shd w:fill="FAFBFC"/>
          </w:tcPr>
          <w:p>
            <w:pPr>
              <w:spacing w:after="0" w:line="247" w:lineRule="auto"/>
            </w:pPr>
            <w:r>
              <w:rPr>
                <w:rFonts w:ascii="Arial" w:hAnsi="Arial"/>
                <w:b/>
                <w:color w:val="1F2937"/>
                <w:sz w:val="18"/>
              </w:rPr>
              <w:t>6</w:t>
            </w:r>
          </w:p>
        </w:tc>
        <w:tc>
          <w:tcPr>
            <w:tcW w:type="dxa" w:w="8856"/>
            <w:tcMar>
              <w:top w:w="90" w:type="dxa"/>
              <w:start w:w="100" w:type="dxa"/>
              <w:bottom w:w="90" w:type="dxa"/>
              <w:end w:w="100" w:type="dxa"/>
            </w:tcMar>
            <w:vAlign w:val="center"/>
            <w:shd w:fill="FAFBFC"/>
          </w:tcPr>
          <w:p>
            <w:pPr>
              <w:spacing w:after="0" w:line="247" w:lineRule="auto"/>
            </w:pPr>
            <w:r>
              <w:rPr>
                <w:rFonts w:ascii="Arial" w:hAnsi="Arial"/>
                <w:b w:val="0"/>
                <w:color w:val="1F2937"/>
                <w:sz w:val="18"/>
              </w:rPr>
              <w:t>End-to-end workflows</w:t>
            </w:r>
          </w:p>
        </w:tc>
      </w:tr>
      <w:tr>
        <w:tc>
          <w:tcPr>
            <w:tcW w:type="dxa" w:w="1080"/>
            <w:tcMar>
              <w:top w:w="90" w:type="dxa"/>
              <w:start w:w="100" w:type="dxa"/>
              <w:bottom w:w="90" w:type="dxa"/>
              <w:end w:w="100" w:type="dxa"/>
            </w:tcMar>
            <w:vAlign w:val="center"/>
          </w:tcPr>
          <w:p>
            <w:pPr>
              <w:spacing w:after="0" w:line="247" w:lineRule="auto"/>
            </w:pPr>
            <w:r>
              <w:rPr>
                <w:rFonts w:ascii="Arial" w:hAnsi="Arial"/>
                <w:b/>
                <w:color w:val="1F2937"/>
                <w:sz w:val="18"/>
              </w:rPr>
              <w:t>7</w:t>
            </w:r>
          </w:p>
        </w:tc>
        <w:tc>
          <w:tcPr>
            <w:tcW w:type="dxa" w:w="8856"/>
            <w:tcMar>
              <w:top w:w="90" w:type="dxa"/>
              <w:start w:w="100" w:type="dxa"/>
              <w:bottom w:w="90" w:type="dxa"/>
              <w:end w:w="100" w:type="dxa"/>
            </w:tcMar>
            <w:vAlign w:val="center"/>
          </w:tcPr>
          <w:p>
            <w:pPr>
              <w:spacing w:after="0" w:line="247" w:lineRule="auto"/>
            </w:pPr>
            <w:r>
              <w:rPr>
                <w:rFonts w:ascii="Arial" w:hAnsi="Arial"/>
                <w:b w:val="0"/>
                <w:color w:val="1F2937"/>
                <w:sz w:val="18"/>
              </w:rPr>
              <w:t>Functional requirements</w:t>
            </w:r>
          </w:p>
        </w:tc>
      </w:tr>
      <w:tr>
        <w:tc>
          <w:tcPr>
            <w:tcW w:type="dxa" w:w="1080"/>
            <w:tcMar>
              <w:top w:w="90" w:type="dxa"/>
              <w:start w:w="100" w:type="dxa"/>
              <w:bottom w:w="90" w:type="dxa"/>
              <w:end w:w="100" w:type="dxa"/>
            </w:tcMar>
            <w:vAlign w:val="center"/>
            <w:shd w:fill="FAFBFC"/>
          </w:tcPr>
          <w:p>
            <w:pPr>
              <w:spacing w:after="0" w:line="247" w:lineRule="auto"/>
            </w:pPr>
            <w:r>
              <w:rPr>
                <w:rFonts w:ascii="Arial" w:hAnsi="Arial"/>
                <w:b/>
                <w:color w:val="1F2937"/>
                <w:sz w:val="18"/>
              </w:rPr>
              <w:t>8</w:t>
            </w:r>
          </w:p>
        </w:tc>
        <w:tc>
          <w:tcPr>
            <w:tcW w:type="dxa" w:w="8856"/>
            <w:tcMar>
              <w:top w:w="90" w:type="dxa"/>
              <w:start w:w="100" w:type="dxa"/>
              <w:bottom w:w="90" w:type="dxa"/>
              <w:end w:w="100" w:type="dxa"/>
            </w:tcMar>
            <w:vAlign w:val="center"/>
            <w:shd w:fill="FAFBFC"/>
          </w:tcPr>
          <w:p>
            <w:pPr>
              <w:spacing w:after="0" w:line="247" w:lineRule="auto"/>
            </w:pPr>
            <w:r>
              <w:rPr>
                <w:rFonts w:ascii="Arial" w:hAnsi="Arial"/>
                <w:b w:val="0"/>
                <w:color w:val="1F2937"/>
                <w:sz w:val="18"/>
              </w:rPr>
              <w:t>Non-functional requirements</w:t>
            </w:r>
          </w:p>
        </w:tc>
      </w:tr>
      <w:tr>
        <w:tc>
          <w:tcPr>
            <w:tcW w:type="dxa" w:w="1080"/>
            <w:tcMar>
              <w:top w:w="90" w:type="dxa"/>
              <w:start w:w="100" w:type="dxa"/>
              <w:bottom w:w="90" w:type="dxa"/>
              <w:end w:w="100" w:type="dxa"/>
            </w:tcMar>
            <w:vAlign w:val="center"/>
          </w:tcPr>
          <w:p>
            <w:pPr>
              <w:spacing w:after="0" w:line="247" w:lineRule="auto"/>
            </w:pPr>
            <w:r>
              <w:rPr>
                <w:rFonts w:ascii="Arial" w:hAnsi="Arial"/>
                <w:b/>
                <w:color w:val="1F2937"/>
                <w:sz w:val="18"/>
              </w:rPr>
              <w:t>9</w:t>
            </w:r>
          </w:p>
        </w:tc>
        <w:tc>
          <w:tcPr>
            <w:tcW w:type="dxa" w:w="8856"/>
            <w:tcMar>
              <w:top w:w="90" w:type="dxa"/>
              <w:start w:w="100" w:type="dxa"/>
              <w:bottom w:w="90" w:type="dxa"/>
              <w:end w:w="100" w:type="dxa"/>
            </w:tcMar>
            <w:vAlign w:val="center"/>
          </w:tcPr>
          <w:p>
            <w:pPr>
              <w:spacing w:after="0" w:line="247" w:lineRule="auto"/>
            </w:pPr>
            <w:r>
              <w:rPr>
                <w:rFonts w:ascii="Arial" w:hAnsi="Arial"/>
                <w:b w:val="0"/>
                <w:color w:val="1F2937"/>
                <w:sz w:val="18"/>
              </w:rPr>
              <w:t>Data and information architecture</w:t>
            </w:r>
          </w:p>
        </w:tc>
      </w:tr>
      <w:tr>
        <w:tc>
          <w:tcPr>
            <w:tcW w:type="dxa" w:w="1080"/>
            <w:tcMar>
              <w:top w:w="90" w:type="dxa"/>
              <w:start w:w="100" w:type="dxa"/>
              <w:bottom w:w="90" w:type="dxa"/>
              <w:end w:w="100" w:type="dxa"/>
            </w:tcMar>
            <w:vAlign w:val="center"/>
            <w:shd w:fill="FAFBFC"/>
          </w:tcPr>
          <w:p>
            <w:pPr>
              <w:spacing w:after="0" w:line="247" w:lineRule="auto"/>
            </w:pPr>
            <w:r>
              <w:rPr>
                <w:rFonts w:ascii="Arial" w:hAnsi="Arial"/>
                <w:b/>
                <w:color w:val="1F2937"/>
                <w:sz w:val="18"/>
              </w:rPr>
              <w:t>10</w:t>
            </w:r>
          </w:p>
        </w:tc>
        <w:tc>
          <w:tcPr>
            <w:tcW w:type="dxa" w:w="8856"/>
            <w:tcMar>
              <w:top w:w="90" w:type="dxa"/>
              <w:start w:w="100" w:type="dxa"/>
              <w:bottom w:w="90" w:type="dxa"/>
              <w:end w:w="100" w:type="dxa"/>
            </w:tcMar>
            <w:vAlign w:val="center"/>
            <w:shd w:fill="FAFBFC"/>
          </w:tcPr>
          <w:p>
            <w:pPr>
              <w:spacing w:after="0" w:line="247" w:lineRule="auto"/>
            </w:pPr>
            <w:r>
              <w:rPr>
                <w:rFonts w:ascii="Arial" w:hAnsi="Arial"/>
                <w:b w:val="0"/>
                <w:color w:val="1F2937"/>
                <w:sz w:val="18"/>
              </w:rPr>
              <w:t>Integration and API architecture</w:t>
            </w:r>
          </w:p>
        </w:tc>
      </w:tr>
      <w:tr>
        <w:tc>
          <w:tcPr>
            <w:tcW w:type="dxa" w:w="1080"/>
            <w:tcMar>
              <w:top w:w="90" w:type="dxa"/>
              <w:start w:w="100" w:type="dxa"/>
              <w:bottom w:w="90" w:type="dxa"/>
              <w:end w:w="100" w:type="dxa"/>
            </w:tcMar>
            <w:vAlign w:val="center"/>
          </w:tcPr>
          <w:p>
            <w:pPr>
              <w:spacing w:after="0" w:line="247" w:lineRule="auto"/>
            </w:pPr>
            <w:r>
              <w:rPr>
                <w:rFonts w:ascii="Arial" w:hAnsi="Arial"/>
                <w:b/>
                <w:color w:val="1F2937"/>
                <w:sz w:val="18"/>
              </w:rPr>
              <w:t>11</w:t>
            </w:r>
          </w:p>
        </w:tc>
        <w:tc>
          <w:tcPr>
            <w:tcW w:type="dxa" w:w="8856"/>
            <w:tcMar>
              <w:top w:w="90" w:type="dxa"/>
              <w:start w:w="100" w:type="dxa"/>
              <w:bottom w:w="90" w:type="dxa"/>
              <w:end w:w="100" w:type="dxa"/>
            </w:tcMar>
            <w:vAlign w:val="center"/>
          </w:tcPr>
          <w:p>
            <w:pPr>
              <w:spacing w:after="0" w:line="247" w:lineRule="auto"/>
            </w:pPr>
            <w:r>
              <w:rPr>
                <w:rFonts w:ascii="Arial" w:hAnsi="Arial"/>
                <w:b w:val="0"/>
                <w:color w:val="1F2937"/>
                <w:sz w:val="18"/>
              </w:rPr>
              <w:t>User experience and application modules</w:t>
            </w:r>
          </w:p>
        </w:tc>
      </w:tr>
      <w:tr>
        <w:tc>
          <w:tcPr>
            <w:tcW w:type="dxa" w:w="1080"/>
            <w:tcMar>
              <w:top w:w="90" w:type="dxa"/>
              <w:start w:w="100" w:type="dxa"/>
              <w:bottom w:w="90" w:type="dxa"/>
              <w:end w:w="100" w:type="dxa"/>
            </w:tcMar>
            <w:vAlign w:val="center"/>
            <w:shd w:fill="FAFBFC"/>
          </w:tcPr>
          <w:p>
            <w:pPr>
              <w:spacing w:after="0" w:line="247" w:lineRule="auto"/>
            </w:pPr>
            <w:r>
              <w:rPr>
                <w:rFonts w:ascii="Arial" w:hAnsi="Arial"/>
                <w:b/>
                <w:color w:val="1F2937"/>
                <w:sz w:val="18"/>
              </w:rPr>
              <w:t>12</w:t>
            </w:r>
          </w:p>
        </w:tc>
        <w:tc>
          <w:tcPr>
            <w:tcW w:type="dxa" w:w="8856"/>
            <w:tcMar>
              <w:top w:w="90" w:type="dxa"/>
              <w:start w:w="100" w:type="dxa"/>
              <w:bottom w:w="90" w:type="dxa"/>
              <w:end w:w="100" w:type="dxa"/>
            </w:tcMar>
            <w:vAlign w:val="center"/>
            <w:shd w:fill="FAFBFC"/>
          </w:tcPr>
          <w:p>
            <w:pPr>
              <w:spacing w:after="0" w:line="247" w:lineRule="auto"/>
            </w:pPr>
            <w:r>
              <w:rPr>
                <w:rFonts w:ascii="Arial" w:hAnsi="Arial"/>
                <w:b w:val="0"/>
                <w:color w:val="1F2937"/>
                <w:sz w:val="18"/>
              </w:rPr>
              <w:t>Security, privacy and trust controls</w:t>
            </w:r>
          </w:p>
        </w:tc>
      </w:tr>
      <w:tr>
        <w:tc>
          <w:tcPr>
            <w:tcW w:type="dxa" w:w="1080"/>
            <w:tcMar>
              <w:top w:w="90" w:type="dxa"/>
              <w:start w:w="100" w:type="dxa"/>
              <w:bottom w:w="90" w:type="dxa"/>
              <w:end w:w="100" w:type="dxa"/>
            </w:tcMar>
            <w:vAlign w:val="center"/>
          </w:tcPr>
          <w:p>
            <w:pPr>
              <w:spacing w:after="0" w:line="247" w:lineRule="auto"/>
            </w:pPr>
            <w:r>
              <w:rPr>
                <w:rFonts w:ascii="Arial" w:hAnsi="Arial"/>
                <w:b/>
                <w:color w:val="1F2937"/>
                <w:sz w:val="18"/>
              </w:rPr>
              <w:t>13</w:t>
            </w:r>
          </w:p>
        </w:tc>
        <w:tc>
          <w:tcPr>
            <w:tcW w:type="dxa" w:w="8856"/>
            <w:tcMar>
              <w:top w:w="90" w:type="dxa"/>
              <w:start w:w="100" w:type="dxa"/>
              <w:bottom w:w="90" w:type="dxa"/>
              <w:end w:w="100" w:type="dxa"/>
            </w:tcMar>
            <w:vAlign w:val="center"/>
          </w:tcPr>
          <w:p>
            <w:pPr>
              <w:spacing w:after="0" w:line="247" w:lineRule="auto"/>
            </w:pPr>
            <w:r>
              <w:rPr>
                <w:rFonts w:ascii="Arial" w:hAnsi="Arial"/>
                <w:b w:val="0"/>
                <w:color w:val="1F2937"/>
                <w:sz w:val="18"/>
              </w:rPr>
              <w:t>Analytics, reporting and intelligence</w:t>
            </w:r>
          </w:p>
        </w:tc>
      </w:tr>
      <w:tr>
        <w:tc>
          <w:tcPr>
            <w:tcW w:type="dxa" w:w="1080"/>
            <w:tcMar>
              <w:top w:w="90" w:type="dxa"/>
              <w:start w:w="100" w:type="dxa"/>
              <w:bottom w:w="90" w:type="dxa"/>
              <w:end w:w="100" w:type="dxa"/>
            </w:tcMar>
            <w:vAlign w:val="center"/>
            <w:shd w:fill="FAFBFC"/>
          </w:tcPr>
          <w:p>
            <w:pPr>
              <w:spacing w:after="0" w:line="247" w:lineRule="auto"/>
            </w:pPr>
            <w:r>
              <w:rPr>
                <w:rFonts w:ascii="Arial" w:hAnsi="Arial"/>
                <w:b/>
                <w:color w:val="1F2937"/>
                <w:sz w:val="18"/>
              </w:rPr>
              <w:t>14</w:t>
            </w:r>
          </w:p>
        </w:tc>
        <w:tc>
          <w:tcPr>
            <w:tcW w:type="dxa" w:w="8856"/>
            <w:tcMar>
              <w:top w:w="90" w:type="dxa"/>
              <w:start w:w="100" w:type="dxa"/>
              <w:bottom w:w="90" w:type="dxa"/>
              <w:end w:w="100" w:type="dxa"/>
            </w:tcMar>
            <w:vAlign w:val="center"/>
            <w:shd w:fill="FAFBFC"/>
          </w:tcPr>
          <w:p>
            <w:pPr>
              <w:spacing w:after="0" w:line="247" w:lineRule="auto"/>
            </w:pPr>
            <w:r>
              <w:rPr>
                <w:rFonts w:ascii="Arial" w:hAnsi="Arial"/>
                <w:b w:val="0"/>
                <w:color w:val="1F2937"/>
                <w:sz w:val="18"/>
              </w:rPr>
              <w:t>Success measures</w:t>
            </w:r>
          </w:p>
        </w:tc>
      </w:tr>
      <w:tr>
        <w:tc>
          <w:tcPr>
            <w:tcW w:type="dxa" w:w="1080"/>
            <w:tcMar>
              <w:top w:w="90" w:type="dxa"/>
              <w:start w:w="100" w:type="dxa"/>
              <w:bottom w:w="90" w:type="dxa"/>
              <w:end w:w="100" w:type="dxa"/>
            </w:tcMar>
            <w:vAlign w:val="center"/>
          </w:tcPr>
          <w:p>
            <w:pPr>
              <w:spacing w:after="0" w:line="247" w:lineRule="auto"/>
            </w:pPr>
            <w:r>
              <w:rPr>
                <w:rFonts w:ascii="Arial" w:hAnsi="Arial"/>
                <w:b/>
                <w:color w:val="1F2937"/>
                <w:sz w:val="18"/>
              </w:rPr>
              <w:t>15</w:t>
            </w:r>
          </w:p>
        </w:tc>
        <w:tc>
          <w:tcPr>
            <w:tcW w:type="dxa" w:w="8856"/>
            <w:tcMar>
              <w:top w:w="90" w:type="dxa"/>
              <w:start w:w="100" w:type="dxa"/>
              <w:bottom w:w="90" w:type="dxa"/>
              <w:end w:w="100" w:type="dxa"/>
            </w:tcMar>
            <w:vAlign w:val="center"/>
          </w:tcPr>
          <w:p>
            <w:pPr>
              <w:spacing w:after="0" w:line="247" w:lineRule="auto"/>
            </w:pPr>
            <w:r>
              <w:rPr>
                <w:rFonts w:ascii="Arial" w:hAnsi="Arial"/>
                <w:b w:val="0"/>
                <w:color w:val="1F2937"/>
                <w:sz w:val="18"/>
              </w:rPr>
              <w:t>Delivery governance and acceptance</w:t>
            </w:r>
          </w:p>
        </w:tc>
      </w:tr>
      <w:tr>
        <w:tc>
          <w:tcPr>
            <w:tcW w:type="dxa" w:w="1080"/>
            <w:tcMar>
              <w:top w:w="90" w:type="dxa"/>
              <w:start w:w="100" w:type="dxa"/>
              <w:bottom w:w="90" w:type="dxa"/>
              <w:end w:w="100" w:type="dxa"/>
            </w:tcMar>
            <w:vAlign w:val="center"/>
            <w:shd w:fill="FAFBFC"/>
          </w:tcPr>
          <w:p>
            <w:pPr>
              <w:spacing w:after="0" w:line="247" w:lineRule="auto"/>
            </w:pPr>
            <w:r>
              <w:rPr>
                <w:rFonts w:ascii="Arial" w:hAnsi="Arial"/>
                <w:b/>
                <w:color w:val="1F2937"/>
                <w:sz w:val="18"/>
              </w:rPr>
              <w:t>16</w:t>
            </w:r>
          </w:p>
        </w:tc>
        <w:tc>
          <w:tcPr>
            <w:tcW w:type="dxa" w:w="8856"/>
            <w:tcMar>
              <w:top w:w="90" w:type="dxa"/>
              <w:start w:w="100" w:type="dxa"/>
              <w:bottom w:w="90" w:type="dxa"/>
              <w:end w:w="100" w:type="dxa"/>
            </w:tcMar>
            <w:vAlign w:val="center"/>
            <w:shd w:fill="FAFBFC"/>
          </w:tcPr>
          <w:p>
            <w:pPr>
              <w:spacing w:after="0" w:line="247" w:lineRule="auto"/>
            </w:pPr>
            <w:r>
              <w:rPr>
                <w:rFonts w:ascii="Arial" w:hAnsi="Arial"/>
                <w:b w:val="0"/>
                <w:color w:val="1F2937"/>
                <w:sz w:val="18"/>
              </w:rPr>
              <w:t>Risks, dependencies and mitigations</w:t>
            </w:r>
          </w:p>
        </w:tc>
      </w:tr>
      <w:tr>
        <w:tc>
          <w:tcPr>
            <w:tcW w:type="dxa" w:w="1080"/>
            <w:tcMar>
              <w:top w:w="90" w:type="dxa"/>
              <w:start w:w="100" w:type="dxa"/>
              <w:bottom w:w="90" w:type="dxa"/>
              <w:end w:w="100" w:type="dxa"/>
            </w:tcMar>
            <w:vAlign w:val="center"/>
          </w:tcPr>
          <w:p>
            <w:pPr>
              <w:spacing w:after="0" w:line="247" w:lineRule="auto"/>
            </w:pPr>
            <w:r>
              <w:rPr>
                <w:rFonts w:ascii="Arial" w:hAnsi="Arial"/>
                <w:b/>
                <w:color w:val="1F2937"/>
                <w:sz w:val="18"/>
              </w:rPr>
              <w:t>17</w:t>
            </w:r>
          </w:p>
        </w:tc>
        <w:tc>
          <w:tcPr>
            <w:tcW w:type="dxa" w:w="8856"/>
            <w:tcMar>
              <w:top w:w="90" w:type="dxa"/>
              <w:start w:w="100" w:type="dxa"/>
              <w:bottom w:w="90" w:type="dxa"/>
              <w:end w:w="100" w:type="dxa"/>
            </w:tcMar>
            <w:vAlign w:val="center"/>
          </w:tcPr>
          <w:p>
            <w:pPr>
              <w:spacing w:after="0" w:line="247" w:lineRule="auto"/>
            </w:pPr>
            <w:r>
              <w:rPr>
                <w:rFonts w:ascii="Arial" w:hAnsi="Arial"/>
                <w:b w:val="0"/>
                <w:color w:val="1F2937"/>
                <w:sz w:val="18"/>
              </w:rPr>
              <w:t>Open decisions and stakeholder sign-off</w:t>
            </w:r>
          </w:p>
        </w:tc>
      </w:tr>
      <w:tr>
        <w:tc>
          <w:tcPr>
            <w:tcW w:type="dxa" w:w="1080"/>
            <w:tcMar>
              <w:top w:w="90" w:type="dxa"/>
              <w:start w:w="100" w:type="dxa"/>
              <w:bottom w:w="90" w:type="dxa"/>
              <w:end w:w="100" w:type="dxa"/>
            </w:tcMar>
            <w:vAlign w:val="center"/>
            <w:shd w:fill="FAFBFC"/>
          </w:tcPr>
          <w:p>
            <w:pPr>
              <w:spacing w:after="0" w:line="247" w:lineRule="auto"/>
            </w:pPr>
            <w:r>
              <w:rPr>
                <w:rFonts w:ascii="Arial" w:hAnsi="Arial"/>
                <w:b/>
                <w:color w:val="1F2937"/>
                <w:sz w:val="18"/>
              </w:rPr>
              <w:t>A</w:t>
            </w:r>
          </w:p>
        </w:tc>
        <w:tc>
          <w:tcPr>
            <w:tcW w:type="dxa" w:w="8856"/>
            <w:tcMar>
              <w:top w:w="90" w:type="dxa"/>
              <w:start w:w="100" w:type="dxa"/>
              <w:bottom w:w="90" w:type="dxa"/>
              <w:end w:w="100" w:type="dxa"/>
            </w:tcMar>
            <w:vAlign w:val="center"/>
            <w:shd w:fill="FAFBFC"/>
          </w:tcPr>
          <w:p>
            <w:pPr>
              <w:spacing w:after="0" w:line="247" w:lineRule="auto"/>
            </w:pPr>
            <w:r>
              <w:rPr>
                <w:rFonts w:ascii="Arial" w:hAnsi="Arial"/>
                <w:b w:val="0"/>
                <w:color w:val="1F2937"/>
                <w:sz w:val="18"/>
              </w:rPr>
              <w:t>Appendices and source references</w:t>
            </w:r>
          </w:p>
        </w:tc>
      </w:tr>
    </w:tbl>
    <w:p>
      <w:pPr>
        <w:spacing w:after="40"/>
      </w:pPr>
    </w:p>
    <w:tbl>
      <w:tblPr>
        <w:tblW w:type="auto" w:w="0"/>
        <w:jc w:val="center"/>
        <w:tblLayout w:type="fixed"/>
        <w:tblLook w:firstColumn="1" w:firstRow="1" w:lastColumn="0" w:lastRow="0" w:noHBand="0" w:noVBand="1" w:val="04A0"/>
      </w:tblPr>
      <w:tblGrid>
        <w:gridCol w:w="173"/>
        <w:gridCol w:w="9720"/>
      </w:tblGrid>
      <w:tr>
        <w:tc>
          <w:tcPr>
            <w:tcW w:type="dxa" w:w="172"/>
            <w:shd w:fill="178C83"/>
            <w:tcMar>
              <w:top w:w="120" w:type="dxa"/>
              <w:start w:w="120" w:type="dxa"/>
              <w:bottom w:w="120" w:type="dxa"/>
              <w:end w:w="120" w:type="dxa"/>
            </w:tcMar>
            <w:vAlign w:val="center"/>
          </w:tcPr>
          <w:p/>
        </w:tc>
        <w:tc>
          <w:tcPr>
            <w:tcW w:type="dxa" w:w="9720"/>
            <w:shd w:fill="EAF4F6"/>
            <w:tcMar>
              <w:top w:w="120" w:type="dxa"/>
              <w:start w:w="120" w:type="dxa"/>
              <w:bottom w:w="120" w:type="dxa"/>
              <w:end w:w="120" w:type="dxa"/>
            </w:tcMar>
            <w:vAlign w:val="center"/>
          </w:tcPr>
          <w:p>
            <w:pPr>
              <w:spacing w:after="40"/>
            </w:pPr>
            <w:r>
              <w:rPr>
                <w:rFonts w:ascii="Arial" w:hAnsi="Arial"/>
                <w:b/>
                <w:color w:val="178C83"/>
                <w:sz w:val="19"/>
              </w:rPr>
              <w:t>HOW TO READ THIS PRD</w:t>
            </w:r>
          </w:p>
          <w:p>
            <w:pPr>
              <w:spacing w:after="0" w:line="259" w:lineRule="auto"/>
            </w:pPr>
            <w:r>
              <w:rPr>
                <w:rFonts w:ascii="Arial" w:hAnsi="Arial"/>
                <w:color w:val="1F2937"/>
                <w:sz w:val="20"/>
              </w:rPr>
              <w:t>Requirements describe the complete production product, not a reduced MVP. Delivery may be staged, but the target system is a full ElevenLabs control, knowledge, testing, operations and intelligence platform. Provider capabilities that depend on account tier or current API availability must be verified during implementation and treated as activation gates.</w:t>
            </w:r>
          </w:p>
        </w:tc>
      </w:tr>
    </w:tbl>
    <w:p>
      <w:pPr>
        <w:spacing w:after="40"/>
      </w:pPr>
    </w:p>
    <w:p>
      <w:pPr>
        <w:pStyle w:val="Heading1"/>
        <w:keepNext/>
        <w:pageBreakBefore w:val="0"/>
      </w:pPr>
      <w:r>
        <w:rPr>
          <w:rFonts w:ascii="Arial" w:hAnsi="Arial"/>
        </w:rPr>
        <w:t>1  Executive summary</w:t>
      </w:r>
    </w:p>
    <w:p>
      <w:pPr>
        <w:spacing w:before="0" w:after="120" w:line="259" w:lineRule="auto"/>
      </w:pPr>
      <w:r>
        <w:rPr>
          <w:rFonts w:ascii="Arial" w:hAnsi="Arial"/>
          <w:i w:val="0"/>
        </w:rPr>
        <w:t>Quantum Parks needs an AI receptionist that answers calls reliably, supports multiple languages and reduces the burden on front-office staff. The corrected solution is not a custom telephony or speech platform. ElevenLabs will receive and conduct the live telephone conversation as the managed voice agent. The Quantum Parks application will control that agent and become the authoritative operational and intelligence layer around it.</w:t>
      </w:r>
    </w:p>
    <w:p>
      <w:pPr>
        <w:spacing w:before="0" w:after="120" w:line="259" w:lineRule="auto"/>
      </w:pPr>
      <w:r>
        <w:rPr>
          <w:rFonts w:ascii="Arial" w:hAnsi="Arial"/>
          <w:i w:val="0"/>
        </w:rPr>
        <w:t>All normal user activity must take place inside the Quantum Parks application. Administrators, knowledge editors, QA reviewers, operators and managers must be able to configure the receptionist, select voices, upload and approve company knowledge, define tools and transfer rules, run tests, publish or roll back agent versions, review calls, create summaries, monitor performance and produce reports without opening the ElevenLabs interface.</w:t>
      </w:r>
    </w:p>
    <w:p>
      <w:pPr>
        <w:spacing w:before="0" w:after="120" w:line="259" w:lineRule="auto"/>
      </w:pPr>
      <w:r>
        <w:rPr>
          <w:rFonts w:ascii="Arial" w:hAnsi="Arial"/>
          <w:i w:val="0"/>
        </w:rPr>
        <w:t>After each eligible call, ElevenLabs sends the transcript and metadata to Quantum Parks through signed webhooks. The application stores the raw provider event, creates a canonical transcript, generates Quantum Parks-owned summaries and classifications, links the interaction to customer and booking history, creates follow-up work and converts all calls into structured operational intelligence.</w:t>
      </w:r>
    </w:p>
    <w:tbl>
      <w:tblPr>
        <w:tblW w:type="auto" w:w="0"/>
        <w:jc w:val="center"/>
        <w:tblLayout w:type="fixed"/>
        <w:tblLook w:firstColumn="1" w:firstRow="1" w:lastColumn="0" w:lastRow="0" w:noHBand="0" w:noVBand="1" w:val="04A0"/>
      </w:tblPr>
      <w:tblGrid>
        <w:gridCol w:w="173"/>
        <w:gridCol w:w="9720"/>
      </w:tblGrid>
      <w:tr>
        <w:tc>
          <w:tcPr>
            <w:tcW w:type="dxa" w:w="172"/>
            <w:shd w:fill="178C83"/>
            <w:tcMar>
              <w:top w:w="120" w:type="dxa"/>
              <w:start w:w="120" w:type="dxa"/>
              <w:bottom w:w="120" w:type="dxa"/>
              <w:end w:w="120" w:type="dxa"/>
            </w:tcMar>
            <w:vAlign w:val="center"/>
          </w:tcPr>
          <w:p/>
        </w:tc>
        <w:tc>
          <w:tcPr>
            <w:tcW w:type="dxa" w:w="9720"/>
            <w:shd w:fill="DFF3EF"/>
            <w:tcMar>
              <w:top w:w="120" w:type="dxa"/>
              <w:start w:w="120" w:type="dxa"/>
              <w:bottom w:w="120" w:type="dxa"/>
              <w:end w:w="120" w:type="dxa"/>
            </w:tcMar>
            <w:vAlign w:val="center"/>
          </w:tcPr>
          <w:p>
            <w:pPr>
              <w:spacing w:after="40"/>
            </w:pPr>
            <w:r>
              <w:rPr>
                <w:rFonts w:ascii="Arial" w:hAnsi="Arial"/>
                <w:b/>
                <w:color w:val="178C83"/>
                <w:sz w:val="19"/>
              </w:rPr>
              <w:t>EXECUTIVE RECOMMENDATION</w:t>
            </w:r>
          </w:p>
          <w:p>
            <w:pPr>
              <w:spacing w:after="0" w:line="259" w:lineRule="auto"/>
            </w:pPr>
            <w:r>
              <w:rPr>
                <w:rFonts w:ascii="Arial" w:hAnsi="Arial"/>
                <w:color w:val="1F2937"/>
                <w:sz w:val="20"/>
              </w:rPr>
              <w:t>Approve the platform as an ElevenLabs-powered receptionist control and intelligence product. Treat the Quantum Parks application as the master source of truth for agent configuration, company knowledge, test evidence, call history, summaries, outcomes, reporting, governance and audit. Treat ElevenLabs as the managed runtime copy and live voice execution service.</w:t>
            </w:r>
          </w:p>
        </w:tc>
      </w:tr>
    </w:tbl>
    <w:p>
      <w:pPr>
        <w:spacing w:after="40"/>
      </w:pPr>
    </w:p>
    <w:p>
      <w:pPr>
        <w:spacing w:after="80"/>
        <w:jc w:val="center"/>
      </w:pPr>
      <w:r>
        <w:drawing>
          <wp:inline xmlns:a="http://schemas.openxmlformats.org/drawingml/2006/main" xmlns:pic="http://schemas.openxmlformats.org/drawingml/2006/picture">
            <wp:extent cx="6172200" cy="4745263"/>
            <wp:docPr id="2" name="Picture 2" descr="Responsibility split between ElevenLabs live voice runtime and Quantum Parks control and intelligence platform." title="Responsibility split between ElevenLabs live voice runtime and Quantum Parks control and intelligence platform."/>
            <wp:cNvGraphicFramePr>
              <a:graphicFrameLocks noChangeAspect="1"/>
            </wp:cNvGraphicFramePr>
            <a:graphic>
              <a:graphicData uri="http://schemas.openxmlformats.org/drawingml/2006/picture">
                <pic:pic>
                  <pic:nvPicPr>
                    <pic:cNvPr id="0" name="responsibility_split.png"/>
                    <pic:cNvPicPr/>
                  </pic:nvPicPr>
                  <pic:blipFill>
                    <a:blip r:embed="rId13"/>
                    <a:stretch>
                      <a:fillRect/>
                    </a:stretch>
                  </pic:blipFill>
                  <pic:spPr>
                    <a:xfrm>
                      <a:off x="0" y="0"/>
                      <a:ext cx="6172200" cy="4745263"/>
                    </a:xfrm>
                    <a:prstGeom prst="rect"/>
                  </pic:spPr>
                </pic:pic>
              </a:graphicData>
            </a:graphic>
          </wp:inline>
        </w:drawing>
      </w:r>
    </w:p>
    <w:p>
      <w:pPr>
        <w:pStyle w:val="PRDCaption"/>
        <w:spacing w:after="160"/>
        <w:jc w:val="center"/>
      </w:pPr>
      <w:r>
        <w:rPr>
          <w:rFonts w:ascii="Arial" w:hAnsi="Arial"/>
          <w:i/>
          <w:color w:val="5E6C7B"/>
          <w:sz w:val="17"/>
        </w:rPr>
        <w:t>Figure 2. Responsibility boundary between ElevenLabs and the Quantum Parks platform.</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2880"/>
        <w:gridCol w:w="3816"/>
        <w:gridCol w:w="3240"/>
      </w:tblGrid>
      <w:tr>
        <w:trPr>
          <w:tblHeader w:val="true"/>
        </w:trPr>
        <w:tc>
          <w:tcPr>
            <w:tcW w:type="dxa" w:w="2880"/>
            <w:shd w:fill="12304A"/>
            <w:tcMar>
              <w:top w:w="100" w:type="dxa"/>
              <w:start w:w="100" w:type="dxa"/>
              <w:bottom w:w="100" w:type="dxa"/>
              <w:end w:w="100" w:type="dxa"/>
            </w:tcMar>
            <w:vAlign w:val="center"/>
          </w:tcPr>
          <w:p>
            <w:pPr>
              <w:spacing w:after="0"/>
              <w:jc w:val="center"/>
            </w:pPr>
            <w:r>
              <w:rPr>
                <w:rFonts w:ascii="Arial" w:hAnsi="Arial"/>
                <w:b/>
                <w:color w:val="FFFFFF"/>
                <w:sz w:val="18"/>
              </w:rPr>
              <w:t>Business problem</w:t>
            </w:r>
          </w:p>
        </w:tc>
        <w:tc>
          <w:tcPr>
            <w:tcW w:type="dxa" w:w="3816"/>
            <w:shd w:fill="12304A"/>
            <w:tcMar>
              <w:top w:w="100" w:type="dxa"/>
              <w:start w:w="100" w:type="dxa"/>
              <w:bottom w:w="100" w:type="dxa"/>
              <w:end w:w="100" w:type="dxa"/>
            </w:tcMar>
            <w:vAlign w:val="center"/>
          </w:tcPr>
          <w:p>
            <w:pPr>
              <w:spacing w:after="0"/>
              <w:jc w:val="center"/>
            </w:pPr>
            <w:r>
              <w:rPr>
                <w:rFonts w:ascii="Arial" w:hAnsi="Arial"/>
                <w:b/>
                <w:color w:val="FFFFFF"/>
                <w:sz w:val="18"/>
              </w:rPr>
              <w:t>Corrected product response</w:t>
            </w:r>
          </w:p>
        </w:tc>
        <w:tc>
          <w:tcPr>
            <w:tcW w:type="dxa" w:w="3240"/>
            <w:shd w:fill="12304A"/>
            <w:tcMar>
              <w:top w:w="100" w:type="dxa"/>
              <w:start w:w="100" w:type="dxa"/>
              <w:bottom w:w="100" w:type="dxa"/>
              <w:end w:w="100" w:type="dxa"/>
            </w:tcMar>
            <w:vAlign w:val="center"/>
          </w:tcPr>
          <w:p>
            <w:pPr>
              <w:spacing w:after="0"/>
              <w:jc w:val="center"/>
            </w:pPr>
            <w:r>
              <w:rPr>
                <w:rFonts w:ascii="Arial" w:hAnsi="Arial"/>
                <w:b/>
                <w:color w:val="FFFFFF"/>
                <w:sz w:val="18"/>
              </w:rPr>
              <w:t>Expected result</w:t>
            </w:r>
          </w:p>
        </w:tc>
      </w:tr>
      <w:tr>
        <w:tc>
          <w:tcPr>
            <w:tcW w:type="dxa" w:w="2880"/>
            <w:tcMar>
              <w:top w:w="90" w:type="dxa"/>
              <w:start w:w="100" w:type="dxa"/>
              <w:bottom w:w="90" w:type="dxa"/>
              <w:end w:w="100" w:type="dxa"/>
            </w:tcMar>
            <w:vAlign w:val="center"/>
          </w:tcPr>
          <w:p>
            <w:pPr>
              <w:spacing w:after="0" w:line="247" w:lineRule="auto"/>
            </w:pPr>
            <w:r>
              <w:rPr>
                <w:rFonts w:ascii="Arial" w:hAnsi="Arial"/>
                <w:b w:val="0"/>
                <w:color w:val="1F2937"/>
                <w:sz w:val="17"/>
              </w:rPr>
              <w:t>Busy front desks cannot answer calls consistently</w:t>
            </w:r>
          </w:p>
        </w:tc>
        <w:tc>
          <w:tcPr>
            <w:tcW w:type="dxa" w:w="3816"/>
            <w:tcMar>
              <w:top w:w="90" w:type="dxa"/>
              <w:start w:w="100" w:type="dxa"/>
              <w:bottom w:w="90" w:type="dxa"/>
              <w:end w:w="100" w:type="dxa"/>
            </w:tcMar>
            <w:vAlign w:val="center"/>
          </w:tcPr>
          <w:p>
            <w:pPr>
              <w:spacing w:after="0" w:line="247" w:lineRule="auto"/>
            </w:pPr>
            <w:r>
              <w:rPr>
                <w:rFonts w:ascii="Arial" w:hAnsi="Arial"/>
                <w:b w:val="0"/>
                <w:color w:val="1F2937"/>
                <w:sz w:val="17"/>
              </w:rPr>
              <w:t>ElevenLabs answers and manages the live call</w:t>
            </w:r>
          </w:p>
        </w:tc>
        <w:tc>
          <w:tcPr>
            <w:tcW w:type="dxa" w:w="3240"/>
            <w:tcMar>
              <w:top w:w="90" w:type="dxa"/>
              <w:start w:w="100" w:type="dxa"/>
              <w:bottom w:w="90" w:type="dxa"/>
              <w:end w:w="100" w:type="dxa"/>
            </w:tcMar>
            <w:vAlign w:val="center"/>
          </w:tcPr>
          <w:p>
            <w:pPr>
              <w:spacing w:after="0" w:line="247" w:lineRule="auto"/>
            </w:pPr>
            <w:r>
              <w:rPr>
                <w:rFonts w:ascii="Arial" w:hAnsi="Arial"/>
                <w:b w:val="0"/>
                <w:color w:val="1F2937"/>
                <w:sz w:val="17"/>
              </w:rPr>
              <w:t>Higher answer coverage without rebuilding telephony infrastructure</w:t>
            </w:r>
          </w:p>
        </w:tc>
      </w:tr>
      <w:tr>
        <w:tc>
          <w:tcPr>
            <w:tcW w:type="dxa" w:w="2880"/>
            <w:tcMar>
              <w:top w:w="90" w:type="dxa"/>
              <w:start w:w="100" w:type="dxa"/>
              <w:bottom w:w="90" w:type="dxa"/>
              <w:end w:w="100" w:type="dxa"/>
            </w:tcMar>
            <w:vAlign w:val="center"/>
            <w:shd w:fill="FAFBFC"/>
          </w:tcPr>
          <w:p>
            <w:pPr>
              <w:spacing w:after="0" w:line="247" w:lineRule="auto"/>
            </w:pPr>
            <w:r>
              <w:rPr>
                <w:rFonts w:ascii="Arial" w:hAnsi="Arial"/>
                <w:b w:val="0"/>
                <w:color w:val="1F2937"/>
                <w:sz w:val="17"/>
              </w:rPr>
              <w:t>Knowledge is fragmented across documents, staff and websites</w:t>
            </w:r>
          </w:p>
        </w:tc>
        <w:tc>
          <w:tcPr>
            <w:tcW w:type="dxa" w:w="3816"/>
            <w:tcMar>
              <w:top w:w="90" w:type="dxa"/>
              <w:start w:w="100" w:type="dxa"/>
              <w:bottom w:w="90" w:type="dxa"/>
              <w:end w:w="100" w:type="dxa"/>
            </w:tcMar>
            <w:vAlign w:val="center"/>
            <w:shd w:fill="FAFBFC"/>
          </w:tcPr>
          <w:p>
            <w:pPr>
              <w:spacing w:after="0" w:line="247" w:lineRule="auto"/>
            </w:pPr>
            <w:r>
              <w:rPr>
                <w:rFonts w:ascii="Arial" w:hAnsi="Arial"/>
                <w:b w:val="0"/>
                <w:color w:val="1F2937"/>
                <w:sz w:val="17"/>
              </w:rPr>
              <w:t>Quantum Parks app owns governed knowledge and publishes approved runtime copies to ElevenLabs</w:t>
            </w:r>
          </w:p>
        </w:tc>
        <w:tc>
          <w:tcPr>
            <w:tcW w:type="dxa" w:w="3240"/>
            <w:tcMar>
              <w:top w:w="90" w:type="dxa"/>
              <w:start w:w="100" w:type="dxa"/>
              <w:bottom w:w="90" w:type="dxa"/>
              <w:end w:w="100" w:type="dxa"/>
            </w:tcMar>
            <w:vAlign w:val="center"/>
            <w:shd w:fill="FAFBFC"/>
          </w:tcPr>
          <w:p>
            <w:pPr>
              <w:spacing w:after="0" w:line="247" w:lineRule="auto"/>
            </w:pPr>
            <w:r>
              <w:rPr>
                <w:rFonts w:ascii="Arial" w:hAnsi="Arial"/>
                <w:b w:val="0"/>
                <w:color w:val="1F2937"/>
                <w:sz w:val="17"/>
              </w:rPr>
              <w:t>Consistent answers with visible ownership and approval</w:t>
            </w:r>
          </w:p>
        </w:tc>
      </w:tr>
      <w:tr>
        <w:tc>
          <w:tcPr>
            <w:tcW w:type="dxa" w:w="2880"/>
            <w:tcMar>
              <w:top w:w="90" w:type="dxa"/>
              <w:start w:w="100" w:type="dxa"/>
              <w:bottom w:w="90" w:type="dxa"/>
              <w:end w:w="100" w:type="dxa"/>
            </w:tcMar>
            <w:vAlign w:val="center"/>
          </w:tcPr>
          <w:p>
            <w:pPr>
              <w:spacing w:after="0" w:line="247" w:lineRule="auto"/>
            </w:pPr>
            <w:r>
              <w:rPr>
                <w:rFonts w:ascii="Arial" w:hAnsi="Arial"/>
                <w:b w:val="0"/>
                <w:color w:val="1F2937"/>
                <w:sz w:val="17"/>
              </w:rPr>
              <w:t>Agent setup would otherwise depend on the vendor console</w:t>
            </w:r>
          </w:p>
        </w:tc>
        <w:tc>
          <w:tcPr>
            <w:tcW w:type="dxa" w:w="3816"/>
            <w:tcMar>
              <w:top w:w="90" w:type="dxa"/>
              <w:start w:w="100" w:type="dxa"/>
              <w:bottom w:w="90" w:type="dxa"/>
              <w:end w:w="100" w:type="dxa"/>
            </w:tcMar>
            <w:vAlign w:val="center"/>
          </w:tcPr>
          <w:p>
            <w:pPr>
              <w:spacing w:after="0" w:line="247" w:lineRule="auto"/>
            </w:pPr>
            <w:r>
              <w:rPr>
                <w:rFonts w:ascii="Arial" w:hAnsi="Arial"/>
                <w:b w:val="0"/>
                <w:color w:val="1F2937"/>
                <w:sz w:val="17"/>
              </w:rPr>
              <w:t>Quantum Parks provides a complete agent-control frontend backed by ElevenLabs APIs</w:t>
            </w:r>
          </w:p>
        </w:tc>
        <w:tc>
          <w:tcPr>
            <w:tcW w:type="dxa" w:w="3240"/>
            <w:tcMar>
              <w:top w:w="90" w:type="dxa"/>
              <w:start w:w="100" w:type="dxa"/>
              <w:bottom w:w="90" w:type="dxa"/>
              <w:end w:w="100" w:type="dxa"/>
            </w:tcMar>
            <w:vAlign w:val="center"/>
          </w:tcPr>
          <w:p>
            <w:pPr>
              <w:spacing w:after="0" w:line="247" w:lineRule="auto"/>
            </w:pPr>
            <w:r>
              <w:rPr>
                <w:rFonts w:ascii="Arial" w:hAnsi="Arial"/>
                <w:b w:val="0"/>
                <w:color w:val="1F2937"/>
                <w:sz w:val="17"/>
              </w:rPr>
              <w:t>Operators work in one branded system</w:t>
            </w:r>
          </w:p>
        </w:tc>
      </w:tr>
      <w:tr>
        <w:tc>
          <w:tcPr>
            <w:tcW w:type="dxa" w:w="2880"/>
            <w:tcMar>
              <w:top w:w="90" w:type="dxa"/>
              <w:start w:w="100" w:type="dxa"/>
              <w:bottom w:w="90" w:type="dxa"/>
              <w:end w:w="100" w:type="dxa"/>
            </w:tcMar>
            <w:vAlign w:val="center"/>
            <w:shd w:fill="FAFBFC"/>
          </w:tcPr>
          <w:p>
            <w:pPr>
              <w:spacing w:after="0" w:line="247" w:lineRule="auto"/>
            </w:pPr>
            <w:r>
              <w:rPr>
                <w:rFonts w:ascii="Arial" w:hAnsi="Arial"/>
                <w:b w:val="0"/>
                <w:color w:val="1F2937"/>
                <w:sz w:val="17"/>
              </w:rPr>
              <w:t>Calls disappear as unstructured audio</w:t>
            </w:r>
          </w:p>
        </w:tc>
        <w:tc>
          <w:tcPr>
            <w:tcW w:type="dxa" w:w="3816"/>
            <w:tcMar>
              <w:top w:w="90" w:type="dxa"/>
              <w:start w:w="100" w:type="dxa"/>
              <w:bottom w:w="90" w:type="dxa"/>
              <w:end w:w="100" w:type="dxa"/>
            </w:tcMar>
            <w:vAlign w:val="center"/>
            <w:shd w:fill="FAFBFC"/>
          </w:tcPr>
          <w:p>
            <w:pPr>
              <w:spacing w:after="0" w:line="247" w:lineRule="auto"/>
            </w:pPr>
            <w:r>
              <w:rPr>
                <w:rFonts w:ascii="Arial" w:hAnsi="Arial"/>
                <w:b w:val="0"/>
                <w:color w:val="1F2937"/>
                <w:sz w:val="17"/>
              </w:rPr>
              <w:t>Post-call webhooks feed canonical transcripts, summaries, history and analytics</w:t>
            </w:r>
          </w:p>
        </w:tc>
        <w:tc>
          <w:tcPr>
            <w:tcW w:type="dxa" w:w="3240"/>
            <w:tcMar>
              <w:top w:w="90" w:type="dxa"/>
              <w:start w:w="100" w:type="dxa"/>
              <w:bottom w:w="90" w:type="dxa"/>
              <w:end w:w="100" w:type="dxa"/>
            </w:tcMar>
            <w:vAlign w:val="center"/>
            <w:shd w:fill="FAFBFC"/>
          </w:tcPr>
          <w:p>
            <w:pPr>
              <w:spacing w:after="0" w:line="247" w:lineRule="auto"/>
            </w:pPr>
            <w:r>
              <w:rPr>
                <w:rFonts w:ascii="Arial" w:hAnsi="Arial"/>
                <w:b w:val="0"/>
                <w:color w:val="1F2937"/>
                <w:sz w:val="17"/>
              </w:rPr>
              <w:t>Every eligible call becomes searchable business data</w:t>
            </w:r>
          </w:p>
        </w:tc>
      </w:tr>
      <w:tr>
        <w:tc>
          <w:tcPr>
            <w:tcW w:type="dxa" w:w="2880"/>
            <w:tcMar>
              <w:top w:w="90" w:type="dxa"/>
              <w:start w:w="100" w:type="dxa"/>
              <w:bottom w:w="90" w:type="dxa"/>
              <w:end w:w="100" w:type="dxa"/>
            </w:tcMar>
            <w:vAlign w:val="center"/>
          </w:tcPr>
          <w:p>
            <w:pPr>
              <w:spacing w:after="0" w:line="247" w:lineRule="auto"/>
            </w:pPr>
            <w:r>
              <w:rPr>
                <w:rFonts w:ascii="Arial" w:hAnsi="Arial"/>
                <w:b w:val="0"/>
                <w:color w:val="1F2937"/>
                <w:sz w:val="17"/>
              </w:rPr>
              <w:t>Management cannot see patterns or service friction</w:t>
            </w:r>
          </w:p>
        </w:tc>
        <w:tc>
          <w:tcPr>
            <w:tcW w:type="dxa" w:w="3816"/>
            <w:tcMar>
              <w:top w:w="90" w:type="dxa"/>
              <w:start w:w="100" w:type="dxa"/>
              <w:bottom w:w="90" w:type="dxa"/>
              <w:end w:w="100" w:type="dxa"/>
            </w:tcMar>
            <w:vAlign w:val="center"/>
          </w:tcPr>
          <w:p>
            <w:pPr>
              <w:spacing w:after="0" w:line="247" w:lineRule="auto"/>
            </w:pPr>
            <w:r>
              <w:rPr>
                <w:rFonts w:ascii="Arial" w:hAnsi="Arial"/>
                <w:b w:val="0"/>
                <w:color w:val="1F2937"/>
                <w:sz w:val="17"/>
              </w:rPr>
              <w:t>Dashboards, trends and scheduled reports aggregate call intelligence</w:t>
            </w:r>
          </w:p>
        </w:tc>
        <w:tc>
          <w:tcPr>
            <w:tcW w:type="dxa" w:w="3240"/>
            <w:tcMar>
              <w:top w:w="90" w:type="dxa"/>
              <w:start w:w="100" w:type="dxa"/>
              <w:bottom w:w="90" w:type="dxa"/>
              <w:end w:w="100" w:type="dxa"/>
            </w:tcMar>
            <w:vAlign w:val="center"/>
          </w:tcPr>
          <w:p>
            <w:pPr>
              <w:spacing w:after="0" w:line="247" w:lineRule="auto"/>
            </w:pPr>
            <w:r>
              <w:rPr>
                <w:rFonts w:ascii="Arial" w:hAnsi="Arial"/>
                <w:b w:val="0"/>
                <w:color w:val="1F2937"/>
                <w:sz w:val="17"/>
              </w:rPr>
              <w:t>Data-driven service, website and commercial decisions</w:t>
            </w:r>
          </w:p>
        </w:tc>
      </w:tr>
    </w:tbl>
    <w:p>
      <w:pPr>
        <w:spacing w:after="40"/>
      </w:pPr>
    </w:p>
    <w:p>
      <w:pPr>
        <w:pStyle w:val="Heading1"/>
        <w:keepNext/>
        <w:pageBreakBefore w:val="0"/>
      </w:pPr>
      <w:r>
        <w:rPr>
          <w:rFonts w:ascii="Arial" w:hAnsi="Arial"/>
        </w:rPr>
        <w:t>2  Corrected product definition and system boundary</w:t>
      </w:r>
    </w:p>
    <w:p>
      <w:pPr>
        <w:pStyle w:val="Heading2"/>
        <w:keepNext/>
      </w:pPr>
      <w:r>
        <w:rPr>
          <w:rFonts w:ascii="Arial" w:hAnsi="Arial"/>
        </w:rPr>
        <w:t>2.1 Product definition</w:t>
      </w:r>
    </w:p>
    <w:tbl>
      <w:tblPr>
        <w:tblW w:type="auto" w:w="0"/>
        <w:jc w:val="center"/>
        <w:tblLayout w:type="fixed"/>
        <w:tblLook w:firstColumn="1" w:firstRow="1" w:lastColumn="0" w:lastRow="0" w:noHBand="0" w:noVBand="1" w:val="04A0"/>
      </w:tblPr>
      <w:tblGrid>
        <w:gridCol w:w="173"/>
        <w:gridCol w:w="9720"/>
      </w:tblGrid>
      <w:tr>
        <w:tc>
          <w:tcPr>
            <w:tcW w:type="dxa" w:w="172"/>
            <w:shd w:fill="12304A"/>
            <w:tcMar>
              <w:top w:w="120" w:type="dxa"/>
              <w:start w:w="120" w:type="dxa"/>
              <w:bottom w:w="120" w:type="dxa"/>
              <w:end w:w="120" w:type="dxa"/>
            </w:tcMar>
            <w:vAlign w:val="center"/>
          </w:tcPr>
          <w:p/>
        </w:tc>
        <w:tc>
          <w:tcPr>
            <w:tcW w:type="dxa" w:w="9720"/>
            <w:shd w:fill="EAF4F6"/>
            <w:tcMar>
              <w:top w:w="120" w:type="dxa"/>
              <w:start w:w="120" w:type="dxa"/>
              <w:bottom w:w="120" w:type="dxa"/>
              <w:end w:w="120" w:type="dxa"/>
            </w:tcMar>
            <w:vAlign w:val="center"/>
          </w:tcPr>
          <w:p>
            <w:pPr>
              <w:spacing w:after="40"/>
            </w:pPr>
            <w:r>
              <w:rPr>
                <w:rFonts w:ascii="Arial" w:hAnsi="Arial"/>
                <w:b/>
                <w:color w:val="12304A"/>
                <w:sz w:val="19"/>
              </w:rPr>
              <w:t>PRODUCT DEFINITION</w:t>
            </w:r>
          </w:p>
          <w:p>
            <w:pPr>
              <w:spacing w:after="0" w:line="259" w:lineRule="auto"/>
            </w:pPr>
            <w:r>
              <w:rPr>
                <w:rFonts w:ascii="Arial" w:hAnsi="Arial"/>
                <w:color w:val="1F2937"/>
                <w:sz w:val="20"/>
              </w:rPr>
              <w:t>The Quantum Parks AI Receptionist Platform is an ElevenLabs-powered control, knowledge, testing, operations and customer-intelligence application. ElevenLabs runs the live voice agent. Quantum Parks owns every user-facing management function, business integration, knowledge record, test result, canonical call record, summary, report, workflow, approval and audit trail.</w:t>
            </w:r>
          </w:p>
        </w:tc>
      </w:tr>
    </w:tbl>
    <w:p>
      <w:pPr>
        <w:spacing w:after="40"/>
      </w:pPr>
    </w:p>
    <w:p>
      <w:pPr>
        <w:pStyle w:val="Heading2"/>
        <w:keepNext/>
      </w:pPr>
      <w:r>
        <w:rPr>
          <w:rFonts w:ascii="Arial" w:hAnsi="Arial"/>
        </w:rPr>
        <w:t>2.2 Runtime and control-plane responsibilities</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2088"/>
        <w:gridCol w:w="3816"/>
        <w:gridCol w:w="4032"/>
      </w:tblGrid>
      <w:tr>
        <w:trPr>
          <w:tblHeader w:val="true"/>
        </w:trPr>
        <w:tc>
          <w:tcPr>
            <w:tcW w:type="dxa" w:w="2088"/>
            <w:shd w:fill="12304A"/>
            <w:tcMar>
              <w:top w:w="100" w:type="dxa"/>
              <w:start w:w="100" w:type="dxa"/>
              <w:bottom w:w="100" w:type="dxa"/>
              <w:end w:w="100" w:type="dxa"/>
            </w:tcMar>
            <w:vAlign w:val="center"/>
          </w:tcPr>
          <w:p>
            <w:pPr>
              <w:spacing w:after="0"/>
              <w:jc w:val="center"/>
            </w:pPr>
            <w:r>
              <w:rPr>
                <w:rFonts w:ascii="Arial" w:hAnsi="Arial"/>
                <w:b/>
                <w:color w:val="FFFFFF"/>
                <w:sz w:val="18"/>
              </w:rPr>
              <w:t>Capability</w:t>
            </w:r>
          </w:p>
        </w:tc>
        <w:tc>
          <w:tcPr>
            <w:tcW w:type="dxa" w:w="3816"/>
            <w:shd w:fill="12304A"/>
            <w:tcMar>
              <w:top w:w="100" w:type="dxa"/>
              <w:start w:w="100" w:type="dxa"/>
              <w:bottom w:w="100" w:type="dxa"/>
              <w:end w:w="100" w:type="dxa"/>
            </w:tcMar>
            <w:vAlign w:val="center"/>
          </w:tcPr>
          <w:p>
            <w:pPr>
              <w:spacing w:after="0"/>
              <w:jc w:val="center"/>
            </w:pPr>
            <w:r>
              <w:rPr>
                <w:rFonts w:ascii="Arial" w:hAnsi="Arial"/>
                <w:b/>
                <w:color w:val="FFFFFF"/>
                <w:sz w:val="18"/>
              </w:rPr>
              <w:t>ElevenLabs responsibility</w:t>
            </w:r>
          </w:p>
        </w:tc>
        <w:tc>
          <w:tcPr>
            <w:tcW w:type="dxa" w:w="4031"/>
            <w:shd w:fill="12304A"/>
            <w:tcMar>
              <w:top w:w="100" w:type="dxa"/>
              <w:start w:w="100" w:type="dxa"/>
              <w:bottom w:w="100" w:type="dxa"/>
              <w:end w:w="100" w:type="dxa"/>
            </w:tcMar>
            <w:vAlign w:val="center"/>
          </w:tcPr>
          <w:p>
            <w:pPr>
              <w:spacing w:after="0"/>
              <w:jc w:val="center"/>
            </w:pPr>
            <w:r>
              <w:rPr>
                <w:rFonts w:ascii="Arial" w:hAnsi="Arial"/>
                <w:b/>
                <w:color w:val="FFFFFF"/>
                <w:sz w:val="18"/>
              </w:rPr>
              <w:t>Quantum Parks responsibility</w:t>
            </w:r>
          </w:p>
        </w:tc>
      </w:tr>
      <w:tr>
        <w:tc>
          <w:tcPr>
            <w:tcW w:type="dxa" w:w="2088"/>
            <w:tcMar>
              <w:top w:w="90" w:type="dxa"/>
              <w:start w:w="100" w:type="dxa"/>
              <w:bottom w:w="90" w:type="dxa"/>
              <w:end w:w="100" w:type="dxa"/>
            </w:tcMar>
            <w:vAlign w:val="center"/>
          </w:tcPr>
          <w:p>
            <w:pPr>
              <w:spacing w:after="0" w:line="247" w:lineRule="auto"/>
            </w:pPr>
            <w:r>
              <w:rPr>
                <w:rFonts w:ascii="Arial" w:hAnsi="Arial"/>
                <w:b/>
                <w:color w:val="1F2937"/>
                <w:sz w:val="17"/>
              </w:rPr>
              <w:t>Telephone call execution</w:t>
            </w:r>
          </w:p>
        </w:tc>
        <w:tc>
          <w:tcPr>
            <w:tcW w:type="dxa" w:w="3816"/>
            <w:tcMar>
              <w:top w:w="90" w:type="dxa"/>
              <w:start w:w="100" w:type="dxa"/>
              <w:bottom w:w="90" w:type="dxa"/>
              <w:end w:w="100" w:type="dxa"/>
            </w:tcMar>
            <w:vAlign w:val="center"/>
          </w:tcPr>
          <w:p>
            <w:pPr>
              <w:spacing w:after="0" w:line="247" w:lineRule="auto"/>
            </w:pPr>
            <w:r>
              <w:rPr>
                <w:rFonts w:ascii="Arial" w:hAnsi="Arial"/>
                <w:b w:val="0"/>
                <w:color w:val="1F2937"/>
                <w:sz w:val="17"/>
              </w:rPr>
              <w:t>Answer, listen, speak, manage turns, interruptions and call completion</w:t>
            </w:r>
          </w:p>
        </w:tc>
        <w:tc>
          <w:tcPr>
            <w:tcW w:type="dxa" w:w="4031"/>
            <w:tcMar>
              <w:top w:w="90" w:type="dxa"/>
              <w:start w:w="100" w:type="dxa"/>
              <w:bottom w:w="90" w:type="dxa"/>
              <w:end w:w="100" w:type="dxa"/>
            </w:tcMar>
            <w:vAlign w:val="center"/>
          </w:tcPr>
          <w:p>
            <w:pPr>
              <w:spacing w:after="0" w:line="247" w:lineRule="auto"/>
            </w:pPr>
            <w:r>
              <w:rPr>
                <w:rFonts w:ascii="Arial" w:hAnsi="Arial"/>
                <w:b w:val="0"/>
                <w:color w:val="1F2937"/>
                <w:sz w:val="17"/>
              </w:rPr>
              <w:t>Route or connect the public number; monitor provider health and store call records</w:t>
            </w:r>
          </w:p>
        </w:tc>
      </w:tr>
      <w:tr>
        <w:tc>
          <w:tcPr>
            <w:tcW w:type="dxa" w:w="2088"/>
            <w:tcMar>
              <w:top w:w="90" w:type="dxa"/>
              <w:start w:w="100" w:type="dxa"/>
              <w:bottom w:w="90" w:type="dxa"/>
              <w:end w:w="100" w:type="dxa"/>
            </w:tcMar>
            <w:vAlign w:val="center"/>
            <w:shd w:fill="FAFBFC"/>
          </w:tcPr>
          <w:p>
            <w:pPr>
              <w:spacing w:after="0" w:line="247" w:lineRule="auto"/>
            </w:pPr>
            <w:r>
              <w:rPr>
                <w:rFonts w:ascii="Arial" w:hAnsi="Arial"/>
                <w:b/>
                <w:color w:val="1F2937"/>
                <w:sz w:val="17"/>
              </w:rPr>
              <w:t>Agent conversation</w:t>
            </w:r>
          </w:p>
        </w:tc>
        <w:tc>
          <w:tcPr>
            <w:tcW w:type="dxa" w:w="3816"/>
            <w:tcMar>
              <w:top w:w="90" w:type="dxa"/>
              <w:start w:w="100" w:type="dxa"/>
              <w:bottom w:w="90" w:type="dxa"/>
              <w:end w:w="100" w:type="dxa"/>
            </w:tcMar>
            <w:vAlign w:val="center"/>
            <w:shd w:fill="FAFBFC"/>
          </w:tcPr>
          <w:p>
            <w:pPr>
              <w:spacing w:after="0" w:line="247" w:lineRule="auto"/>
            </w:pPr>
            <w:r>
              <w:rPr>
                <w:rFonts w:ascii="Arial" w:hAnsi="Arial"/>
                <w:b w:val="0"/>
                <w:color w:val="1F2937"/>
                <w:sz w:val="17"/>
              </w:rPr>
              <w:t>Execute the published agent prompt, workflow, languages, tools and transfer rules</w:t>
            </w:r>
          </w:p>
        </w:tc>
        <w:tc>
          <w:tcPr>
            <w:tcW w:type="dxa" w:w="4031"/>
            <w:tcMar>
              <w:top w:w="90" w:type="dxa"/>
              <w:start w:w="100" w:type="dxa"/>
              <w:bottom w:w="90" w:type="dxa"/>
              <w:end w:w="100" w:type="dxa"/>
            </w:tcMar>
            <w:vAlign w:val="center"/>
            <w:shd w:fill="FAFBFC"/>
          </w:tcPr>
          <w:p>
            <w:pPr>
              <w:spacing w:after="0" w:line="247" w:lineRule="auto"/>
            </w:pPr>
            <w:r>
              <w:rPr>
                <w:rFonts w:ascii="Arial" w:hAnsi="Arial"/>
                <w:b w:val="0"/>
                <w:color w:val="1F2937"/>
                <w:sz w:val="17"/>
              </w:rPr>
              <w:t>Author, approve, test, publish, version and roll back the configuration</w:t>
            </w:r>
          </w:p>
        </w:tc>
      </w:tr>
      <w:tr>
        <w:tc>
          <w:tcPr>
            <w:tcW w:type="dxa" w:w="2088"/>
            <w:tcMar>
              <w:top w:w="90" w:type="dxa"/>
              <w:start w:w="100" w:type="dxa"/>
              <w:bottom w:w="90" w:type="dxa"/>
              <w:end w:w="100" w:type="dxa"/>
            </w:tcMar>
            <w:vAlign w:val="center"/>
          </w:tcPr>
          <w:p>
            <w:pPr>
              <w:spacing w:after="0" w:line="247" w:lineRule="auto"/>
            </w:pPr>
            <w:r>
              <w:rPr>
                <w:rFonts w:ascii="Arial" w:hAnsi="Arial"/>
                <w:b/>
                <w:color w:val="1F2937"/>
                <w:sz w:val="17"/>
              </w:rPr>
              <w:t>Knowledge at runtime</w:t>
            </w:r>
          </w:p>
        </w:tc>
        <w:tc>
          <w:tcPr>
            <w:tcW w:type="dxa" w:w="3816"/>
            <w:tcMar>
              <w:top w:w="90" w:type="dxa"/>
              <w:start w:w="100" w:type="dxa"/>
              <w:bottom w:w="90" w:type="dxa"/>
              <w:end w:w="100" w:type="dxa"/>
            </w:tcMar>
            <w:vAlign w:val="center"/>
          </w:tcPr>
          <w:p>
            <w:pPr>
              <w:spacing w:after="0" w:line="247" w:lineRule="auto"/>
            </w:pPr>
            <w:r>
              <w:rPr>
                <w:rFonts w:ascii="Arial" w:hAnsi="Arial"/>
                <w:b w:val="0"/>
                <w:color w:val="1F2937"/>
                <w:sz w:val="17"/>
              </w:rPr>
              <w:t>Use knowledge attached to the active agent</w:t>
            </w:r>
          </w:p>
        </w:tc>
        <w:tc>
          <w:tcPr>
            <w:tcW w:type="dxa" w:w="4031"/>
            <w:tcMar>
              <w:top w:w="90" w:type="dxa"/>
              <w:start w:w="100" w:type="dxa"/>
              <w:bottom w:w="90" w:type="dxa"/>
              <w:end w:w="100" w:type="dxa"/>
            </w:tcMar>
            <w:vAlign w:val="center"/>
          </w:tcPr>
          <w:p>
            <w:pPr>
              <w:spacing w:after="0" w:line="247" w:lineRule="auto"/>
            </w:pPr>
            <w:r>
              <w:rPr>
                <w:rFonts w:ascii="Arial" w:hAnsi="Arial"/>
                <w:b w:val="0"/>
                <w:color w:val="1F2937"/>
                <w:sz w:val="17"/>
              </w:rPr>
              <w:t>Own master knowledge, metadata, approvals, synchronization and regression tests</w:t>
            </w:r>
          </w:p>
        </w:tc>
      </w:tr>
      <w:tr>
        <w:tc>
          <w:tcPr>
            <w:tcW w:type="dxa" w:w="2088"/>
            <w:tcMar>
              <w:top w:w="90" w:type="dxa"/>
              <w:start w:w="100" w:type="dxa"/>
              <w:bottom w:w="90" w:type="dxa"/>
              <w:end w:w="100" w:type="dxa"/>
            </w:tcMar>
            <w:vAlign w:val="center"/>
            <w:shd w:fill="FAFBFC"/>
          </w:tcPr>
          <w:p>
            <w:pPr>
              <w:spacing w:after="0" w:line="247" w:lineRule="auto"/>
            </w:pPr>
            <w:r>
              <w:rPr>
                <w:rFonts w:ascii="Arial" w:hAnsi="Arial"/>
                <w:b/>
                <w:color w:val="1F2937"/>
                <w:sz w:val="17"/>
              </w:rPr>
              <w:t>Voices</w:t>
            </w:r>
          </w:p>
        </w:tc>
        <w:tc>
          <w:tcPr>
            <w:tcW w:type="dxa" w:w="3816"/>
            <w:tcMar>
              <w:top w:w="90" w:type="dxa"/>
              <w:start w:w="100" w:type="dxa"/>
              <w:bottom w:w="90" w:type="dxa"/>
              <w:end w:w="100" w:type="dxa"/>
            </w:tcMar>
            <w:vAlign w:val="center"/>
            <w:shd w:fill="FAFBFC"/>
          </w:tcPr>
          <w:p>
            <w:pPr>
              <w:spacing w:after="0" w:line="247" w:lineRule="auto"/>
            </w:pPr>
            <w:r>
              <w:rPr>
                <w:rFonts w:ascii="Arial" w:hAnsi="Arial"/>
                <w:b w:val="0"/>
                <w:color w:val="1F2937"/>
                <w:sz w:val="17"/>
              </w:rPr>
              <w:t>Provide voice catalogue, synthesis and supported custom-voice capabilities</w:t>
            </w:r>
          </w:p>
        </w:tc>
        <w:tc>
          <w:tcPr>
            <w:tcW w:type="dxa" w:w="4031"/>
            <w:tcMar>
              <w:top w:w="90" w:type="dxa"/>
              <w:start w:w="100" w:type="dxa"/>
              <w:bottom w:w="90" w:type="dxa"/>
              <w:end w:w="100" w:type="dxa"/>
            </w:tcMar>
            <w:vAlign w:val="center"/>
            <w:shd w:fill="FAFBFC"/>
          </w:tcPr>
          <w:p>
            <w:pPr>
              <w:spacing w:after="0" w:line="247" w:lineRule="auto"/>
            </w:pPr>
            <w:r>
              <w:rPr>
                <w:rFonts w:ascii="Arial" w:hAnsi="Arial"/>
                <w:b w:val="0"/>
                <w:color w:val="1F2937"/>
                <w:sz w:val="17"/>
              </w:rPr>
              <w:t>Search, preview, approve, assign and govern voices through the app</w:t>
            </w:r>
          </w:p>
        </w:tc>
      </w:tr>
      <w:tr>
        <w:tc>
          <w:tcPr>
            <w:tcW w:type="dxa" w:w="2088"/>
            <w:tcMar>
              <w:top w:w="90" w:type="dxa"/>
              <w:start w:w="100" w:type="dxa"/>
              <w:bottom w:w="90" w:type="dxa"/>
              <w:end w:w="100" w:type="dxa"/>
            </w:tcMar>
            <w:vAlign w:val="center"/>
          </w:tcPr>
          <w:p>
            <w:pPr>
              <w:spacing w:after="0" w:line="247" w:lineRule="auto"/>
            </w:pPr>
            <w:r>
              <w:rPr>
                <w:rFonts w:ascii="Arial" w:hAnsi="Arial"/>
                <w:b/>
                <w:color w:val="1F2937"/>
                <w:sz w:val="17"/>
              </w:rPr>
              <w:t>Customer context</w:t>
            </w:r>
          </w:p>
        </w:tc>
        <w:tc>
          <w:tcPr>
            <w:tcW w:type="dxa" w:w="3816"/>
            <w:tcMar>
              <w:top w:w="90" w:type="dxa"/>
              <w:start w:w="100" w:type="dxa"/>
              <w:bottom w:w="90" w:type="dxa"/>
              <w:end w:w="100" w:type="dxa"/>
            </w:tcMar>
            <w:vAlign w:val="center"/>
          </w:tcPr>
          <w:p>
            <w:pPr>
              <w:spacing w:after="0" w:line="247" w:lineRule="auto"/>
            </w:pPr>
            <w:r>
              <w:rPr>
                <w:rFonts w:ascii="Arial" w:hAnsi="Arial"/>
                <w:b w:val="0"/>
                <w:color w:val="1F2937"/>
                <w:sz w:val="17"/>
              </w:rPr>
              <w:t>Accept personalization variables and invoke tools</w:t>
            </w:r>
          </w:p>
        </w:tc>
        <w:tc>
          <w:tcPr>
            <w:tcW w:type="dxa" w:w="4031"/>
            <w:tcMar>
              <w:top w:w="90" w:type="dxa"/>
              <w:start w:w="100" w:type="dxa"/>
              <w:bottom w:w="90" w:type="dxa"/>
              <w:end w:w="100" w:type="dxa"/>
            </w:tcMar>
            <w:vAlign w:val="center"/>
          </w:tcPr>
          <w:p>
            <w:pPr>
              <w:spacing w:after="0" w:line="247" w:lineRule="auto"/>
            </w:pPr>
            <w:r>
              <w:rPr>
                <w:rFonts w:ascii="Arial" w:hAnsi="Arial"/>
                <w:b w:val="0"/>
                <w:color w:val="1F2937"/>
                <w:sz w:val="17"/>
              </w:rPr>
              <w:t>Resolve caller, enforce verification, return minimum approved context and business results</w:t>
            </w:r>
          </w:p>
        </w:tc>
      </w:tr>
      <w:tr>
        <w:tc>
          <w:tcPr>
            <w:tcW w:type="dxa" w:w="2088"/>
            <w:tcMar>
              <w:top w:w="90" w:type="dxa"/>
              <w:start w:w="100" w:type="dxa"/>
              <w:bottom w:w="90" w:type="dxa"/>
              <w:end w:w="100" w:type="dxa"/>
            </w:tcMar>
            <w:vAlign w:val="center"/>
            <w:shd w:fill="FAFBFC"/>
          </w:tcPr>
          <w:p>
            <w:pPr>
              <w:spacing w:after="0" w:line="247" w:lineRule="auto"/>
            </w:pPr>
            <w:r>
              <w:rPr>
                <w:rFonts w:ascii="Arial" w:hAnsi="Arial"/>
                <w:b/>
                <w:color w:val="1F2937"/>
                <w:sz w:val="17"/>
              </w:rPr>
              <w:t>Transcript source</w:t>
            </w:r>
          </w:p>
        </w:tc>
        <w:tc>
          <w:tcPr>
            <w:tcW w:type="dxa" w:w="3816"/>
            <w:tcMar>
              <w:top w:w="90" w:type="dxa"/>
              <w:start w:w="100" w:type="dxa"/>
              <w:bottom w:w="90" w:type="dxa"/>
              <w:end w:w="100" w:type="dxa"/>
            </w:tcMar>
            <w:vAlign w:val="center"/>
            <w:shd w:fill="FAFBFC"/>
          </w:tcPr>
          <w:p>
            <w:pPr>
              <w:spacing w:after="0" w:line="247" w:lineRule="auto"/>
            </w:pPr>
            <w:r>
              <w:rPr>
                <w:rFonts w:ascii="Arial" w:hAnsi="Arial"/>
                <w:b w:val="0"/>
                <w:color w:val="1F2937"/>
                <w:sz w:val="17"/>
              </w:rPr>
              <w:t>Produce provider transcript and conversation metadata</w:t>
            </w:r>
          </w:p>
        </w:tc>
        <w:tc>
          <w:tcPr>
            <w:tcW w:type="dxa" w:w="4031"/>
            <w:tcMar>
              <w:top w:w="90" w:type="dxa"/>
              <w:start w:w="100" w:type="dxa"/>
              <w:bottom w:w="90" w:type="dxa"/>
              <w:end w:w="100" w:type="dxa"/>
            </w:tcMar>
            <w:vAlign w:val="center"/>
            <w:shd w:fill="FAFBFC"/>
          </w:tcPr>
          <w:p>
            <w:pPr>
              <w:spacing w:after="0" w:line="247" w:lineRule="auto"/>
            </w:pPr>
            <w:r>
              <w:rPr>
                <w:rFonts w:ascii="Arial" w:hAnsi="Arial"/>
                <w:b w:val="0"/>
                <w:color w:val="1F2937"/>
                <w:sz w:val="17"/>
              </w:rPr>
              <w:t>Ingest, normalize, redact, store canonically, summarize, classify and analyse</w:t>
            </w:r>
          </w:p>
        </w:tc>
      </w:tr>
      <w:tr>
        <w:tc>
          <w:tcPr>
            <w:tcW w:type="dxa" w:w="2088"/>
            <w:tcMar>
              <w:top w:w="90" w:type="dxa"/>
              <w:start w:w="100" w:type="dxa"/>
              <w:bottom w:w="90" w:type="dxa"/>
              <w:end w:w="100" w:type="dxa"/>
            </w:tcMar>
            <w:vAlign w:val="center"/>
          </w:tcPr>
          <w:p>
            <w:pPr>
              <w:spacing w:after="0" w:line="247" w:lineRule="auto"/>
            </w:pPr>
            <w:r>
              <w:rPr>
                <w:rFonts w:ascii="Arial" w:hAnsi="Arial"/>
                <w:b/>
                <w:color w:val="1F2937"/>
                <w:sz w:val="17"/>
              </w:rPr>
              <w:t>Testing</w:t>
            </w:r>
          </w:p>
        </w:tc>
        <w:tc>
          <w:tcPr>
            <w:tcW w:type="dxa" w:w="3816"/>
            <w:tcMar>
              <w:top w:w="90" w:type="dxa"/>
              <w:start w:w="100" w:type="dxa"/>
              <w:bottom w:w="90" w:type="dxa"/>
              <w:end w:w="100" w:type="dxa"/>
            </w:tcMar>
            <w:vAlign w:val="center"/>
          </w:tcPr>
          <w:p>
            <w:pPr>
              <w:spacing w:after="0" w:line="247" w:lineRule="auto"/>
            </w:pPr>
            <w:r>
              <w:rPr>
                <w:rFonts w:ascii="Arial" w:hAnsi="Arial"/>
                <w:b w:val="0"/>
                <w:color w:val="1F2937"/>
                <w:sz w:val="17"/>
              </w:rPr>
              <w:t>Execute supported agent tests and simulations</w:t>
            </w:r>
          </w:p>
        </w:tc>
        <w:tc>
          <w:tcPr>
            <w:tcW w:type="dxa" w:w="4031"/>
            <w:tcMar>
              <w:top w:w="90" w:type="dxa"/>
              <w:start w:w="100" w:type="dxa"/>
              <w:bottom w:w="90" w:type="dxa"/>
              <w:end w:w="100" w:type="dxa"/>
            </w:tcMar>
            <w:vAlign w:val="center"/>
          </w:tcPr>
          <w:p>
            <w:pPr>
              <w:spacing w:after="0" w:line="247" w:lineRule="auto"/>
            </w:pPr>
            <w:r>
              <w:rPr>
                <w:rFonts w:ascii="Arial" w:hAnsi="Arial"/>
                <w:b w:val="0"/>
                <w:color w:val="1F2937"/>
                <w:sz w:val="17"/>
              </w:rPr>
              <w:t>Own test cases, expected outcomes, release gates, evidence and approvals</w:t>
            </w:r>
          </w:p>
        </w:tc>
      </w:tr>
      <w:tr>
        <w:tc>
          <w:tcPr>
            <w:tcW w:type="dxa" w:w="2088"/>
            <w:tcMar>
              <w:top w:w="90" w:type="dxa"/>
              <w:start w:w="100" w:type="dxa"/>
              <w:bottom w:w="90" w:type="dxa"/>
              <w:end w:w="100" w:type="dxa"/>
            </w:tcMar>
            <w:vAlign w:val="center"/>
            <w:shd w:fill="FAFBFC"/>
          </w:tcPr>
          <w:p>
            <w:pPr>
              <w:spacing w:after="0" w:line="247" w:lineRule="auto"/>
            </w:pPr>
            <w:r>
              <w:rPr>
                <w:rFonts w:ascii="Arial" w:hAnsi="Arial"/>
                <w:b/>
                <w:color w:val="1F2937"/>
                <w:sz w:val="17"/>
              </w:rPr>
              <w:t>Reporting</w:t>
            </w:r>
          </w:p>
        </w:tc>
        <w:tc>
          <w:tcPr>
            <w:tcW w:type="dxa" w:w="3816"/>
            <w:tcMar>
              <w:top w:w="90" w:type="dxa"/>
              <w:start w:w="100" w:type="dxa"/>
              <w:bottom w:w="90" w:type="dxa"/>
              <w:end w:w="100" w:type="dxa"/>
            </w:tcMar>
            <w:vAlign w:val="center"/>
            <w:shd w:fill="FAFBFC"/>
          </w:tcPr>
          <w:p>
            <w:pPr>
              <w:spacing w:after="0" w:line="247" w:lineRule="auto"/>
            </w:pPr>
            <w:r>
              <w:rPr>
                <w:rFonts w:ascii="Arial" w:hAnsi="Arial"/>
                <w:b w:val="0"/>
                <w:color w:val="1F2937"/>
                <w:sz w:val="17"/>
              </w:rPr>
              <w:t>Provide provider-level metadata and usage</w:t>
            </w:r>
          </w:p>
        </w:tc>
        <w:tc>
          <w:tcPr>
            <w:tcW w:type="dxa" w:w="4031"/>
            <w:tcMar>
              <w:top w:w="90" w:type="dxa"/>
              <w:start w:w="100" w:type="dxa"/>
              <w:bottom w:w="90" w:type="dxa"/>
              <w:end w:w="100" w:type="dxa"/>
            </w:tcMar>
            <w:vAlign w:val="center"/>
            <w:shd w:fill="FAFBFC"/>
          </w:tcPr>
          <w:p>
            <w:pPr>
              <w:spacing w:after="0" w:line="247" w:lineRule="auto"/>
            </w:pPr>
            <w:r>
              <w:rPr>
                <w:rFonts w:ascii="Arial" w:hAnsi="Arial"/>
                <w:b w:val="0"/>
                <w:color w:val="1F2937"/>
                <w:sz w:val="17"/>
              </w:rPr>
              <w:t>Own operational dashboards, history, trends, reports, QA and strategic insight</w:t>
            </w:r>
          </w:p>
        </w:tc>
      </w:tr>
    </w:tbl>
    <w:p>
      <w:pPr>
        <w:spacing w:after="40"/>
      </w:pPr>
    </w:p>
    <w:p>
      <w:pPr>
        <w:pStyle w:val="Heading2"/>
        <w:keepNext/>
      </w:pPr>
      <w:r>
        <w:rPr>
          <w:rFonts w:ascii="Arial" w:hAnsi="Arial"/>
        </w:rPr>
        <w:t>2.3 Architecture correction from PRD v1.0</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4536"/>
        <w:gridCol w:w="5400"/>
      </w:tblGrid>
      <w:tr>
        <w:trPr>
          <w:tblHeader w:val="true"/>
        </w:trPr>
        <w:tc>
          <w:tcPr>
            <w:tcW w:type="dxa" w:w="4536"/>
            <w:shd w:fill="12304A"/>
            <w:tcMar>
              <w:top w:w="100" w:type="dxa"/>
              <w:start w:w="100" w:type="dxa"/>
              <w:bottom w:w="100" w:type="dxa"/>
              <w:end w:w="100" w:type="dxa"/>
            </w:tcMar>
            <w:vAlign w:val="center"/>
          </w:tcPr>
          <w:p>
            <w:pPr>
              <w:spacing w:after="0"/>
              <w:jc w:val="center"/>
            </w:pPr>
            <w:r>
              <w:rPr>
                <w:rFonts w:ascii="Arial" w:hAnsi="Arial"/>
                <w:b/>
                <w:color w:val="FFFFFF"/>
                <w:sz w:val="18"/>
              </w:rPr>
              <w:t>Previous assumption</w:t>
            </w:r>
          </w:p>
        </w:tc>
        <w:tc>
          <w:tcPr>
            <w:tcW w:type="dxa" w:w="5400"/>
            <w:shd w:fill="12304A"/>
            <w:tcMar>
              <w:top w:w="100" w:type="dxa"/>
              <w:start w:w="100" w:type="dxa"/>
              <w:bottom w:w="100" w:type="dxa"/>
              <w:end w:w="100" w:type="dxa"/>
            </w:tcMar>
            <w:vAlign w:val="center"/>
          </w:tcPr>
          <w:p>
            <w:pPr>
              <w:spacing w:after="0"/>
              <w:jc w:val="center"/>
            </w:pPr>
            <w:r>
              <w:rPr>
                <w:rFonts w:ascii="Arial" w:hAnsi="Arial"/>
                <w:b/>
                <w:color w:val="FFFFFF"/>
                <w:sz w:val="18"/>
              </w:rPr>
              <w:t>Corrected requirement</w:t>
            </w:r>
          </w:p>
        </w:tc>
      </w:tr>
      <w:tr>
        <w:tc>
          <w:tcPr>
            <w:tcW w:type="dxa" w:w="4536"/>
            <w:tcMar>
              <w:top w:w="90" w:type="dxa"/>
              <w:start w:w="100" w:type="dxa"/>
              <w:bottom w:w="90" w:type="dxa"/>
              <w:end w:w="100" w:type="dxa"/>
            </w:tcMar>
            <w:vAlign w:val="center"/>
          </w:tcPr>
          <w:p>
            <w:pPr>
              <w:spacing w:after="0" w:line="247" w:lineRule="auto"/>
            </w:pPr>
            <w:r>
              <w:rPr>
                <w:rFonts w:ascii="Arial" w:hAnsi="Arial"/>
                <w:b w:val="0"/>
                <w:color w:val="1F2937"/>
                <w:sz w:val="18"/>
              </w:rPr>
              <w:t>Quantum Parks builds the real-time media gateway</w:t>
            </w:r>
          </w:p>
        </w:tc>
        <w:tc>
          <w:tcPr>
            <w:tcW w:type="dxa" w:w="5400"/>
            <w:tcMar>
              <w:top w:w="90" w:type="dxa"/>
              <w:start w:w="100" w:type="dxa"/>
              <w:bottom w:w="90" w:type="dxa"/>
              <w:end w:w="100" w:type="dxa"/>
            </w:tcMar>
            <w:vAlign w:val="center"/>
          </w:tcPr>
          <w:p>
            <w:pPr>
              <w:spacing w:after="0" w:line="247" w:lineRule="auto"/>
            </w:pPr>
            <w:r>
              <w:rPr>
                <w:rFonts w:ascii="Arial" w:hAnsi="Arial"/>
                <w:b w:val="0"/>
                <w:color w:val="1F2937"/>
                <w:sz w:val="18"/>
              </w:rPr>
              <w:t>No custom media gateway is required for the core product; ElevenLabs is the voice runtime.</w:t>
            </w:r>
          </w:p>
        </w:tc>
      </w:tr>
      <w:tr>
        <w:tc>
          <w:tcPr>
            <w:tcW w:type="dxa" w:w="4536"/>
            <w:tcMar>
              <w:top w:w="90" w:type="dxa"/>
              <w:start w:w="100" w:type="dxa"/>
              <w:bottom w:w="90" w:type="dxa"/>
              <w:end w:w="100" w:type="dxa"/>
            </w:tcMar>
            <w:vAlign w:val="center"/>
            <w:shd w:fill="FAFBFC"/>
          </w:tcPr>
          <w:p>
            <w:pPr>
              <w:spacing w:after="0" w:line="247" w:lineRule="auto"/>
            </w:pPr>
            <w:r>
              <w:rPr>
                <w:rFonts w:ascii="Arial" w:hAnsi="Arial"/>
                <w:b w:val="0"/>
                <w:color w:val="1F2937"/>
                <w:sz w:val="18"/>
              </w:rPr>
              <w:t>Quantum Parks orchestrates streaming STT and TTS</w:t>
            </w:r>
          </w:p>
        </w:tc>
        <w:tc>
          <w:tcPr>
            <w:tcW w:type="dxa" w:w="5400"/>
            <w:tcMar>
              <w:top w:w="90" w:type="dxa"/>
              <w:start w:w="100" w:type="dxa"/>
              <w:bottom w:w="90" w:type="dxa"/>
              <w:end w:w="100" w:type="dxa"/>
            </w:tcMar>
            <w:vAlign w:val="center"/>
            <w:shd w:fill="FAFBFC"/>
          </w:tcPr>
          <w:p>
            <w:pPr>
              <w:spacing w:after="0" w:line="247" w:lineRule="auto"/>
            </w:pPr>
            <w:r>
              <w:rPr>
                <w:rFonts w:ascii="Arial" w:hAnsi="Arial"/>
                <w:b w:val="0"/>
                <w:color w:val="1F2937"/>
                <w:sz w:val="18"/>
              </w:rPr>
              <w:t>ElevenLabs performs live recognition and speech generation.</w:t>
            </w:r>
          </w:p>
        </w:tc>
      </w:tr>
      <w:tr>
        <w:tc>
          <w:tcPr>
            <w:tcW w:type="dxa" w:w="4536"/>
            <w:tcMar>
              <w:top w:w="90" w:type="dxa"/>
              <w:start w:w="100" w:type="dxa"/>
              <w:bottom w:w="90" w:type="dxa"/>
              <w:end w:w="100" w:type="dxa"/>
            </w:tcMar>
            <w:vAlign w:val="center"/>
          </w:tcPr>
          <w:p>
            <w:pPr>
              <w:spacing w:after="0" w:line="247" w:lineRule="auto"/>
            </w:pPr>
            <w:r>
              <w:rPr>
                <w:rFonts w:ascii="Arial" w:hAnsi="Arial"/>
                <w:b w:val="0"/>
                <w:color w:val="1F2937"/>
                <w:sz w:val="18"/>
              </w:rPr>
              <w:t>ElevenLabs is one interchangeable voice provider</w:t>
            </w:r>
          </w:p>
        </w:tc>
        <w:tc>
          <w:tcPr>
            <w:tcW w:type="dxa" w:w="5400"/>
            <w:tcMar>
              <w:top w:w="90" w:type="dxa"/>
              <w:start w:w="100" w:type="dxa"/>
              <w:bottom w:w="90" w:type="dxa"/>
              <w:end w:w="100" w:type="dxa"/>
            </w:tcMar>
            <w:vAlign w:val="center"/>
          </w:tcPr>
          <w:p>
            <w:pPr>
              <w:spacing w:after="0" w:line="247" w:lineRule="auto"/>
            </w:pPr>
            <w:r>
              <w:rPr>
                <w:rFonts w:ascii="Arial" w:hAnsi="Arial"/>
                <w:b w:val="0"/>
                <w:color w:val="1F2937"/>
                <w:sz w:val="18"/>
              </w:rPr>
              <w:t>ElevenLabs is the selected managed voice-agent platform and a primary integration dependency.</w:t>
            </w:r>
          </w:p>
        </w:tc>
      </w:tr>
      <w:tr>
        <w:tc>
          <w:tcPr>
            <w:tcW w:type="dxa" w:w="4536"/>
            <w:tcMar>
              <w:top w:w="90" w:type="dxa"/>
              <w:start w:w="100" w:type="dxa"/>
              <w:bottom w:w="90" w:type="dxa"/>
              <w:end w:w="100" w:type="dxa"/>
            </w:tcMar>
            <w:vAlign w:val="center"/>
            <w:shd w:fill="FAFBFC"/>
          </w:tcPr>
          <w:p>
            <w:pPr>
              <w:spacing w:after="0" w:line="247" w:lineRule="auto"/>
            </w:pPr>
            <w:r>
              <w:rPr>
                <w:rFonts w:ascii="Arial" w:hAnsi="Arial"/>
                <w:b w:val="0"/>
                <w:color w:val="1F2937"/>
                <w:sz w:val="18"/>
              </w:rPr>
              <w:t>Quantum Parks controls each conversational turn</w:t>
            </w:r>
          </w:p>
        </w:tc>
        <w:tc>
          <w:tcPr>
            <w:tcW w:type="dxa" w:w="5400"/>
            <w:tcMar>
              <w:top w:w="90" w:type="dxa"/>
              <w:start w:w="100" w:type="dxa"/>
              <w:bottom w:w="90" w:type="dxa"/>
              <w:end w:w="100" w:type="dxa"/>
            </w:tcMar>
            <w:vAlign w:val="center"/>
            <w:shd w:fill="FAFBFC"/>
          </w:tcPr>
          <w:p>
            <w:pPr>
              <w:spacing w:after="0" w:line="247" w:lineRule="auto"/>
            </w:pPr>
            <w:r>
              <w:rPr>
                <w:rFonts w:ascii="Arial" w:hAnsi="Arial"/>
                <w:b w:val="0"/>
                <w:color w:val="1F2937"/>
                <w:sz w:val="18"/>
              </w:rPr>
              <w:t>Quantum Parks controls configuration, knowledge, tools and policies; ElevenLabs executes the live turn flow.</w:t>
            </w:r>
          </w:p>
        </w:tc>
      </w:tr>
      <w:tr>
        <w:tc>
          <w:tcPr>
            <w:tcW w:type="dxa" w:w="4536"/>
            <w:tcMar>
              <w:top w:w="90" w:type="dxa"/>
              <w:start w:w="100" w:type="dxa"/>
              <w:bottom w:w="90" w:type="dxa"/>
              <w:end w:w="100" w:type="dxa"/>
            </w:tcMar>
            <w:vAlign w:val="center"/>
          </w:tcPr>
          <w:p>
            <w:pPr>
              <w:spacing w:after="0" w:line="247" w:lineRule="auto"/>
            </w:pPr>
            <w:r>
              <w:rPr>
                <w:rFonts w:ascii="Arial" w:hAnsi="Arial"/>
                <w:b w:val="0"/>
                <w:color w:val="1F2937"/>
                <w:sz w:val="18"/>
              </w:rPr>
              <w:t>Provider-neutral voice runtime is the architectural centre</w:t>
            </w:r>
          </w:p>
        </w:tc>
        <w:tc>
          <w:tcPr>
            <w:tcW w:type="dxa" w:w="5400"/>
            <w:tcMar>
              <w:top w:w="90" w:type="dxa"/>
              <w:start w:w="100" w:type="dxa"/>
              <w:bottom w:w="90" w:type="dxa"/>
              <w:end w:w="100" w:type="dxa"/>
            </w:tcMar>
            <w:vAlign w:val="center"/>
          </w:tcPr>
          <w:p>
            <w:pPr>
              <w:spacing w:after="0" w:line="247" w:lineRule="auto"/>
            </w:pPr>
            <w:r>
              <w:rPr>
                <w:rFonts w:ascii="Arial" w:hAnsi="Arial"/>
                <w:b w:val="0"/>
                <w:color w:val="1F2937"/>
                <w:sz w:val="18"/>
              </w:rPr>
              <w:t>The architectural centre is the Quantum Parks control and intelligence platform built around ElevenLabs APIs and webhooks.</w:t>
            </w:r>
          </w:p>
        </w:tc>
      </w:tr>
      <w:tr>
        <w:tc>
          <w:tcPr>
            <w:tcW w:type="dxa" w:w="4536"/>
            <w:tcMar>
              <w:top w:w="90" w:type="dxa"/>
              <w:start w:w="100" w:type="dxa"/>
              <w:bottom w:w="90" w:type="dxa"/>
              <w:end w:w="100" w:type="dxa"/>
            </w:tcMar>
            <w:vAlign w:val="center"/>
            <w:shd w:fill="FAFBFC"/>
          </w:tcPr>
          <w:p>
            <w:pPr>
              <w:spacing w:after="0" w:line="247" w:lineRule="auto"/>
            </w:pPr>
            <w:r>
              <w:rPr>
                <w:rFonts w:ascii="Arial" w:hAnsi="Arial"/>
                <w:b w:val="0"/>
                <w:color w:val="1F2937"/>
                <w:sz w:val="18"/>
              </w:rPr>
              <w:t>Users may configure the agent in the vendor console</w:t>
            </w:r>
          </w:p>
        </w:tc>
        <w:tc>
          <w:tcPr>
            <w:tcW w:type="dxa" w:w="5400"/>
            <w:tcMar>
              <w:top w:w="90" w:type="dxa"/>
              <w:start w:w="100" w:type="dxa"/>
              <w:bottom w:w="90" w:type="dxa"/>
              <w:end w:w="100" w:type="dxa"/>
            </w:tcMar>
            <w:vAlign w:val="center"/>
            <w:shd w:fill="FAFBFC"/>
          </w:tcPr>
          <w:p>
            <w:pPr>
              <w:spacing w:after="0" w:line="247" w:lineRule="auto"/>
            </w:pPr>
            <w:r>
              <w:rPr>
                <w:rFonts w:ascii="Arial" w:hAnsi="Arial"/>
                <w:b w:val="0"/>
                <w:color w:val="1F2937"/>
                <w:sz w:val="18"/>
              </w:rPr>
              <w:t>Normal users must not require the ElevenLabs console for day-to-day configuration, knowledge, testing, publishing or monitoring.</w:t>
            </w:r>
          </w:p>
        </w:tc>
      </w:tr>
    </w:tbl>
    <w:p>
      <w:pPr>
        <w:spacing w:after="40"/>
      </w:pPr>
    </w:p>
    <w:p>
      <w:pPr>
        <w:pStyle w:val="Heading2"/>
        <w:keepNext/>
      </w:pPr>
      <w:r>
        <w:rPr>
          <w:rFonts w:ascii="Arial" w:hAnsi="Arial"/>
        </w:rPr>
        <w:t>2.4 Canonical information ownership</w:t>
      </w:r>
    </w:p>
    <w:p>
      <w:pPr>
        <w:pStyle w:val="ListBullet"/>
        <w:spacing w:before="0" w:after="60" w:line="259" w:lineRule="auto"/>
      </w:pPr>
      <w:r>
        <w:rPr>
          <w:rFonts w:ascii="Arial" w:hAnsi="Arial"/>
          <w:sz w:val="20"/>
        </w:rPr>
        <w:t>Quantum Parks is the system of record for agent configuration history, approvals and release evidence.</w:t>
      </w:r>
    </w:p>
    <w:p>
      <w:pPr>
        <w:pStyle w:val="ListBullet"/>
        <w:spacing w:before="0" w:after="60" w:line="259" w:lineRule="auto"/>
      </w:pPr>
      <w:r>
        <w:rPr>
          <w:rFonts w:ascii="Arial" w:hAnsi="Arial"/>
          <w:sz w:val="20"/>
        </w:rPr>
        <w:t>Quantum Parks is the system of record for company knowledge, even when an approved runtime copy is synchronized into ElevenLabs.</w:t>
      </w:r>
    </w:p>
    <w:p>
      <w:pPr>
        <w:pStyle w:val="ListBullet"/>
        <w:spacing w:before="0" w:after="60" w:line="259" w:lineRule="auto"/>
      </w:pPr>
      <w:r>
        <w:rPr>
          <w:rFonts w:ascii="Arial" w:hAnsi="Arial"/>
          <w:sz w:val="20"/>
        </w:rPr>
        <w:t>Quantum Parks is the system of record for canonical call transcripts, summaries, classifications, customer timelines and reports.</w:t>
      </w:r>
    </w:p>
    <w:p>
      <w:pPr>
        <w:pStyle w:val="ListBullet"/>
        <w:spacing w:before="0" w:after="60" w:line="259" w:lineRule="auto"/>
      </w:pPr>
      <w:r>
        <w:rPr>
          <w:rFonts w:ascii="Arial" w:hAnsi="Arial"/>
          <w:sz w:val="20"/>
        </w:rPr>
        <w:t>ElevenLabs identifiers and payloads are retained as provider references, not as substitutes for internal records.</w:t>
      </w:r>
    </w:p>
    <w:p>
      <w:pPr>
        <w:pStyle w:val="ListBullet"/>
        <w:spacing w:before="0" w:after="60" w:line="259" w:lineRule="auto"/>
      </w:pPr>
      <w:r>
        <w:rPr>
          <w:rFonts w:ascii="Arial" w:hAnsi="Arial"/>
          <w:sz w:val="20"/>
        </w:rPr>
        <w:t>Any content or configuration changed directly in ElevenLabs is treated as drift and must be detected, reviewed and reconciled.</w:t>
      </w:r>
    </w:p>
    <w:p>
      <w:pPr>
        <w:pStyle w:val="Heading1"/>
        <w:keepNext/>
        <w:pageBreakBefore w:val="0"/>
      </w:pPr>
      <w:r>
        <w:rPr>
          <w:rFonts w:ascii="Arial" w:hAnsi="Arial"/>
        </w:rPr>
        <w:t>3  Business context, vision and objectives</w:t>
      </w:r>
    </w:p>
    <w:p>
      <w:pPr>
        <w:pStyle w:val="Heading2"/>
        <w:keepNext/>
      </w:pPr>
      <w:r>
        <w:rPr>
          <w:rFonts w:ascii="Arial" w:hAnsi="Arial"/>
        </w:rPr>
        <w:t>3.1 Current business context</w:t>
      </w:r>
    </w:p>
    <w:p>
      <w:pPr>
        <w:spacing w:before="0" w:after="120" w:line="259" w:lineRule="auto"/>
      </w:pPr>
      <w:r>
        <w:rPr>
          <w:rFonts w:ascii="Arial" w:hAnsi="Arial"/>
          <w:i w:val="0"/>
        </w:rPr>
        <w:t>Quantum Parks currently has one staff member per park balancing counter service, email and telephone calls. The physical customer receives priority and the telephone becomes the lowest-priority channel. A shared number serves multiple parks, while phone, booking, Zendesk and social-channel context remain fragmented. Management also lacks a reliable history of what callers ask, which questions recur and where service or commercial opportunities are being lost.</w:t>
      </w:r>
    </w:p>
    <w:p>
      <w:pPr>
        <w:pStyle w:val="Heading2"/>
        <w:keepNext/>
      </w:pPr>
      <w:r>
        <w:rPr>
          <w:rFonts w:ascii="Arial" w:hAnsi="Arial"/>
        </w:rPr>
        <w:t>3.2 Product vision</w:t>
      </w:r>
    </w:p>
    <w:tbl>
      <w:tblPr>
        <w:tblW w:type="auto" w:w="0"/>
        <w:jc w:val="center"/>
        <w:tblLayout w:type="fixed"/>
        <w:tblLook w:firstColumn="1" w:firstRow="1" w:lastColumn="0" w:lastRow="0" w:noHBand="0" w:noVBand="1" w:val="04A0"/>
      </w:tblPr>
      <w:tblGrid>
        <w:gridCol w:w="173"/>
        <w:gridCol w:w="9720"/>
      </w:tblGrid>
      <w:tr>
        <w:tc>
          <w:tcPr>
            <w:tcW w:type="dxa" w:w="172"/>
            <w:shd w:fill="178C83"/>
            <w:tcMar>
              <w:top w:w="120" w:type="dxa"/>
              <w:start w:w="120" w:type="dxa"/>
              <w:bottom w:w="120" w:type="dxa"/>
              <w:end w:w="120" w:type="dxa"/>
            </w:tcMar>
            <w:vAlign w:val="center"/>
          </w:tcPr>
          <w:p/>
        </w:tc>
        <w:tc>
          <w:tcPr>
            <w:tcW w:type="dxa" w:w="9720"/>
            <w:shd w:fill="DFF3EF"/>
            <w:tcMar>
              <w:top w:w="120" w:type="dxa"/>
              <w:start w:w="120" w:type="dxa"/>
              <w:bottom w:w="120" w:type="dxa"/>
              <w:end w:w="120" w:type="dxa"/>
            </w:tcMar>
            <w:vAlign w:val="center"/>
          </w:tcPr>
          <w:p>
            <w:pPr>
              <w:spacing w:after="40"/>
            </w:pPr>
            <w:r>
              <w:rPr>
                <w:rFonts w:ascii="Arial" w:hAnsi="Arial"/>
                <w:b/>
                <w:color w:val="178C83"/>
                <w:sz w:val="19"/>
              </w:rPr>
              <w:t>NORTH STAR</w:t>
            </w:r>
          </w:p>
          <w:p>
            <w:pPr>
              <w:spacing w:after="0" w:line="259" w:lineRule="auto"/>
            </w:pPr>
            <w:r>
              <w:rPr>
                <w:rFonts w:ascii="Arial" w:hAnsi="Arial"/>
                <w:color w:val="1F2937"/>
                <w:sz w:val="20"/>
              </w:rPr>
              <w:t>Every Quantum Parks call is answered by a high-quality ElevenLabs receptionist configured and governed entirely from the Quantum Parks application. Every eligible conversation then becomes a trusted, searchable and actionable source of operational intelligence.</w:t>
            </w:r>
          </w:p>
        </w:tc>
      </w:tr>
    </w:tbl>
    <w:p>
      <w:pPr>
        <w:spacing w:after="40"/>
      </w:pPr>
    </w:p>
    <w:p>
      <w:pPr>
        <w:pStyle w:val="Heading2"/>
        <w:keepNext/>
      </w:pPr>
      <w:r>
        <w:rPr>
          <w:rFonts w:ascii="Arial" w:hAnsi="Arial"/>
        </w:rPr>
        <w:t>3.3 Business objectives</w:t>
      </w:r>
    </w:p>
    <w:p>
      <w:pPr>
        <w:pStyle w:val="ListBullet"/>
        <w:spacing w:before="0" w:after="60" w:line="259" w:lineRule="auto"/>
      </w:pPr>
      <w:r>
        <w:rPr>
          <w:rFonts w:ascii="Arial" w:hAnsi="Arial"/>
          <w:sz w:val="20"/>
        </w:rPr>
        <w:t>Restore the telephone as a dependable customer channel without returning pressure to park front desks.</w:t>
      </w:r>
    </w:p>
    <w:p>
      <w:pPr>
        <w:pStyle w:val="ListBullet"/>
        <w:spacing w:before="0" w:after="60" w:line="259" w:lineRule="auto"/>
      </w:pPr>
      <w:r>
        <w:rPr>
          <w:rFonts w:ascii="Arial" w:hAnsi="Arial"/>
          <w:sz w:val="20"/>
        </w:rPr>
        <w:t>Give Quantum Parks complete control over the agent, voices, knowledge and tests from one branded application.</w:t>
      </w:r>
    </w:p>
    <w:p>
      <w:pPr>
        <w:pStyle w:val="ListBullet"/>
        <w:spacing w:before="0" w:after="60" w:line="259" w:lineRule="auto"/>
      </w:pPr>
      <w:r>
        <w:rPr>
          <w:rFonts w:ascii="Arial" w:hAnsi="Arial"/>
          <w:sz w:val="20"/>
        </w:rPr>
        <w:t>Create a governed, maintainable corporate knowledge system for FAQs, SOPs, policies, schedules, pricing, packages and park information.</w:t>
      </w:r>
    </w:p>
    <w:p>
      <w:pPr>
        <w:pStyle w:val="ListBullet"/>
        <w:spacing w:before="0" w:after="60" w:line="259" w:lineRule="auto"/>
      </w:pPr>
      <w:r>
        <w:rPr>
          <w:rFonts w:ascii="Arial" w:hAnsi="Arial"/>
          <w:sz w:val="20"/>
        </w:rPr>
        <w:t>Ensure every agent change is versioned, tested, approved, published and reversible.</w:t>
      </w:r>
    </w:p>
    <w:p>
      <w:pPr>
        <w:pStyle w:val="ListBullet"/>
        <w:spacing w:before="0" w:after="60" w:line="259" w:lineRule="auto"/>
      </w:pPr>
      <w:r>
        <w:rPr>
          <w:rFonts w:ascii="Arial" w:hAnsi="Arial"/>
          <w:sz w:val="20"/>
        </w:rPr>
        <w:t>Build an authoritative historical database of calls, transcripts, summaries, topics, outcomes and customer contact history.</w:t>
      </w:r>
    </w:p>
    <w:p>
      <w:pPr>
        <w:pStyle w:val="ListBullet"/>
        <w:spacing w:before="0" w:after="60" w:line="259" w:lineRule="auto"/>
      </w:pPr>
      <w:r>
        <w:rPr>
          <w:rFonts w:ascii="Arial" w:hAnsi="Arial"/>
          <w:sz w:val="20"/>
        </w:rPr>
        <w:t>Identify trends, repeat contacts, knowledge gaps, website friction, language demand and operational failures.</w:t>
      </w:r>
    </w:p>
    <w:p>
      <w:pPr>
        <w:pStyle w:val="ListBullet"/>
        <w:spacing w:before="0" w:after="60" w:line="259" w:lineRule="auto"/>
      </w:pPr>
      <w:r>
        <w:rPr>
          <w:rFonts w:ascii="Arial" w:hAnsi="Arial"/>
          <w:sz w:val="20"/>
        </w:rPr>
        <w:t>Support controlled customer and booking context without exposing data before required verification.</w:t>
      </w:r>
    </w:p>
    <w:p>
      <w:pPr>
        <w:pStyle w:val="ListBullet"/>
        <w:spacing w:before="0" w:after="60" w:line="259" w:lineRule="auto"/>
      </w:pPr>
      <w:r>
        <w:rPr>
          <w:rFonts w:ascii="Arial" w:hAnsi="Arial"/>
          <w:sz w:val="20"/>
        </w:rPr>
        <w:t>Create follow-up tasks, callbacks and digital next steps when a live voice conversation cannot complete the need.</w:t>
      </w:r>
    </w:p>
    <w:p>
      <w:pPr>
        <w:pStyle w:val="ListBullet"/>
        <w:spacing w:before="0" w:after="60" w:line="259" w:lineRule="auto"/>
      </w:pPr>
      <w:r>
        <w:rPr>
          <w:rFonts w:ascii="Arial" w:hAnsi="Arial"/>
          <w:sz w:val="20"/>
        </w:rPr>
        <w:t>Provide weekly operational and monthly strategic reporting to management.</w:t>
      </w:r>
    </w:p>
    <w:p>
      <w:pPr>
        <w:pStyle w:val="Heading2"/>
        <w:keepNext/>
      </w:pPr>
      <w:r>
        <w:rPr>
          <w:rFonts w:ascii="Arial" w:hAnsi="Arial"/>
        </w:rPr>
        <w:t>3.4 Safe learning loop</w:t>
      </w:r>
    </w:p>
    <w:p>
      <w:pPr>
        <w:spacing w:before="0" w:after="120" w:line="259" w:lineRule="auto"/>
      </w:pPr>
      <w:r>
        <w:rPr>
          <w:rFonts w:ascii="Arial" w:hAnsi="Arial"/>
          <w:i w:val="0"/>
        </w:rPr>
        <w:t>The platform becomes more intelligent through accumulated evidence, but the live agent must not automatically learn from unreviewed caller statements or model-generated summaries. Improvements follow a governed loop: calls create evidence; the platform identifies patterns and recommendations; an authorized person reviews the recommendation; approved changes become a new knowledge or agent version; tests must pass before publication.</w:t>
      </w:r>
    </w:p>
    <w:p>
      <w:pPr>
        <w:spacing w:after="80"/>
        <w:jc w:val="center"/>
      </w:pPr>
      <w:r>
        <w:drawing>
          <wp:inline xmlns:a="http://schemas.openxmlformats.org/drawingml/2006/main" xmlns:pic="http://schemas.openxmlformats.org/drawingml/2006/picture">
            <wp:extent cx="6172200" cy="8488201"/>
            <wp:docPr id="3" name="Picture 3" descr="Governed lifecycle for editing, approving, publishing, testing, activating, monitoring and improving the agent." title="Governed lifecycle for editing, approving, publishing, testing, activating, monitoring and improving the agent."/>
            <wp:cNvGraphicFramePr>
              <a:graphicFrameLocks noChangeAspect="1"/>
            </wp:cNvGraphicFramePr>
            <a:graphic>
              <a:graphicData uri="http://schemas.openxmlformats.org/drawingml/2006/picture">
                <pic:pic>
                  <pic:nvPicPr>
                    <pic:cNvPr id="0" name="control_lifecycle.png"/>
                    <pic:cNvPicPr/>
                  </pic:nvPicPr>
                  <pic:blipFill>
                    <a:blip r:embed="rId14"/>
                    <a:stretch>
                      <a:fillRect/>
                    </a:stretch>
                  </pic:blipFill>
                  <pic:spPr>
                    <a:xfrm>
                      <a:off x="0" y="0"/>
                      <a:ext cx="6172200" cy="8488201"/>
                    </a:xfrm>
                    <a:prstGeom prst="rect"/>
                  </pic:spPr>
                </pic:pic>
              </a:graphicData>
            </a:graphic>
          </wp:inline>
        </w:drawing>
      </w:r>
    </w:p>
    <w:p>
      <w:pPr>
        <w:pStyle w:val="PRDCaption"/>
        <w:spacing w:after="160"/>
        <w:jc w:val="center"/>
      </w:pPr>
      <w:r>
        <w:rPr>
          <w:rFonts w:ascii="Arial" w:hAnsi="Arial"/>
          <w:i/>
          <w:color w:val="5E6C7B"/>
          <w:sz w:val="17"/>
        </w:rPr>
        <w:t>Figure 3. Governed control, testing and improvement lifecycle.</w:t>
      </w:r>
    </w:p>
    <w:p>
      <w:pPr>
        <w:pStyle w:val="Heading1"/>
        <w:keepNext/>
        <w:pageBreakBefore w:val="0"/>
      </w:pPr>
      <w:r>
        <w:rPr>
          <w:rFonts w:ascii="Arial" w:hAnsi="Arial"/>
        </w:rPr>
        <w:t>4  Product principles, scope and non-goals</w:t>
      </w:r>
    </w:p>
    <w:p>
      <w:pPr>
        <w:pStyle w:val="Heading2"/>
        <w:keepNext/>
      </w:pPr>
      <w:r>
        <w:rPr>
          <w:rFonts w:ascii="Arial" w:hAnsi="Arial"/>
        </w:rPr>
        <w:t>4.1 Product principles</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2520"/>
        <w:gridCol w:w="7416"/>
      </w:tblGrid>
      <w:tr>
        <w:trPr>
          <w:tblHeader w:val="true"/>
        </w:trPr>
        <w:tc>
          <w:tcPr>
            <w:tcW w:type="dxa" w:w="2520"/>
            <w:shd w:fill="12304A"/>
            <w:tcMar>
              <w:top w:w="100" w:type="dxa"/>
              <w:start w:w="100" w:type="dxa"/>
              <w:bottom w:w="100" w:type="dxa"/>
              <w:end w:w="100" w:type="dxa"/>
            </w:tcMar>
            <w:vAlign w:val="center"/>
          </w:tcPr>
          <w:p>
            <w:pPr>
              <w:spacing w:after="0"/>
              <w:jc w:val="center"/>
            </w:pPr>
            <w:r>
              <w:rPr>
                <w:rFonts w:ascii="Arial" w:hAnsi="Arial"/>
                <w:b/>
                <w:color w:val="FFFFFF"/>
                <w:sz w:val="18"/>
              </w:rPr>
              <w:t>Principle</w:t>
            </w:r>
          </w:p>
        </w:tc>
        <w:tc>
          <w:tcPr>
            <w:tcW w:type="dxa" w:w="7416"/>
            <w:shd w:fill="12304A"/>
            <w:tcMar>
              <w:top w:w="100" w:type="dxa"/>
              <w:start w:w="100" w:type="dxa"/>
              <w:bottom w:w="100" w:type="dxa"/>
              <w:end w:w="100" w:type="dxa"/>
            </w:tcMar>
            <w:vAlign w:val="center"/>
          </w:tcPr>
          <w:p>
            <w:pPr>
              <w:spacing w:after="0"/>
              <w:jc w:val="center"/>
            </w:pPr>
            <w:r>
              <w:rPr>
                <w:rFonts w:ascii="Arial" w:hAnsi="Arial"/>
                <w:b/>
                <w:color w:val="FFFFFF"/>
                <w:sz w:val="18"/>
              </w:rPr>
              <w:t>Product meaning</w:t>
            </w:r>
          </w:p>
        </w:tc>
      </w:tr>
      <w:tr>
        <w:tc>
          <w:tcPr>
            <w:tcW w:type="dxa" w:w="2520"/>
            <w:tcMar>
              <w:top w:w="90" w:type="dxa"/>
              <w:start w:w="100" w:type="dxa"/>
              <w:bottom w:w="90" w:type="dxa"/>
              <w:end w:w="100" w:type="dxa"/>
            </w:tcMar>
            <w:vAlign w:val="center"/>
          </w:tcPr>
          <w:p>
            <w:pPr>
              <w:spacing w:after="0" w:line="247" w:lineRule="auto"/>
            </w:pPr>
            <w:r>
              <w:rPr>
                <w:rFonts w:ascii="Arial" w:hAnsi="Arial"/>
                <w:b/>
                <w:color w:val="1F2937"/>
                <w:sz w:val="18"/>
              </w:rPr>
              <w:t>One operating interface</w:t>
            </w:r>
          </w:p>
        </w:tc>
        <w:tc>
          <w:tcPr>
            <w:tcW w:type="dxa" w:w="7416"/>
            <w:tcMar>
              <w:top w:w="90" w:type="dxa"/>
              <w:start w:w="100" w:type="dxa"/>
              <w:bottom w:w="90" w:type="dxa"/>
              <w:end w:w="100" w:type="dxa"/>
            </w:tcMar>
            <w:vAlign w:val="center"/>
          </w:tcPr>
          <w:p>
            <w:pPr>
              <w:spacing w:after="0" w:line="247" w:lineRule="auto"/>
            </w:pPr>
            <w:r>
              <w:rPr>
                <w:rFonts w:ascii="Arial" w:hAnsi="Arial"/>
                <w:b w:val="0"/>
                <w:color w:val="1F2937"/>
                <w:sz w:val="18"/>
              </w:rPr>
              <w:t>Normal users work exclusively in the Quantum Parks application.</w:t>
            </w:r>
          </w:p>
        </w:tc>
      </w:tr>
      <w:tr>
        <w:tc>
          <w:tcPr>
            <w:tcW w:type="dxa" w:w="2520"/>
            <w:tcMar>
              <w:top w:w="90" w:type="dxa"/>
              <w:start w:w="100" w:type="dxa"/>
              <w:bottom w:w="90" w:type="dxa"/>
              <w:end w:w="100" w:type="dxa"/>
            </w:tcMar>
            <w:vAlign w:val="center"/>
            <w:shd w:fill="FAFBFC"/>
          </w:tcPr>
          <w:p>
            <w:pPr>
              <w:spacing w:after="0" w:line="247" w:lineRule="auto"/>
            </w:pPr>
            <w:r>
              <w:rPr>
                <w:rFonts w:ascii="Arial" w:hAnsi="Arial"/>
                <w:b/>
                <w:color w:val="1F2937"/>
                <w:sz w:val="18"/>
              </w:rPr>
              <w:t>Quantum Parks owns the master record</w:t>
            </w:r>
          </w:p>
        </w:tc>
        <w:tc>
          <w:tcPr>
            <w:tcW w:type="dxa" w:w="7416"/>
            <w:tcMar>
              <w:top w:w="90" w:type="dxa"/>
              <w:start w:w="100" w:type="dxa"/>
              <w:bottom w:w="90" w:type="dxa"/>
              <w:end w:w="100" w:type="dxa"/>
            </w:tcMar>
            <w:vAlign w:val="center"/>
            <w:shd w:fill="FAFBFC"/>
          </w:tcPr>
          <w:p>
            <w:pPr>
              <w:spacing w:after="0" w:line="247" w:lineRule="auto"/>
            </w:pPr>
            <w:r>
              <w:rPr>
                <w:rFonts w:ascii="Arial" w:hAnsi="Arial"/>
                <w:b w:val="0"/>
                <w:color w:val="1F2937"/>
                <w:sz w:val="18"/>
              </w:rPr>
              <w:t>Agent settings, knowledge, tests and call intelligence are authoritative locally.</w:t>
            </w:r>
          </w:p>
        </w:tc>
      </w:tr>
      <w:tr>
        <w:tc>
          <w:tcPr>
            <w:tcW w:type="dxa" w:w="2520"/>
            <w:tcMar>
              <w:top w:w="90" w:type="dxa"/>
              <w:start w:w="100" w:type="dxa"/>
              <w:bottom w:w="90" w:type="dxa"/>
              <w:end w:w="100" w:type="dxa"/>
            </w:tcMar>
            <w:vAlign w:val="center"/>
          </w:tcPr>
          <w:p>
            <w:pPr>
              <w:spacing w:after="0" w:line="247" w:lineRule="auto"/>
            </w:pPr>
            <w:r>
              <w:rPr>
                <w:rFonts w:ascii="Arial" w:hAnsi="Arial"/>
                <w:b/>
                <w:color w:val="1F2937"/>
                <w:sz w:val="18"/>
              </w:rPr>
              <w:t>ElevenLabs is the managed runtime</w:t>
            </w:r>
          </w:p>
        </w:tc>
        <w:tc>
          <w:tcPr>
            <w:tcW w:type="dxa" w:w="7416"/>
            <w:tcMar>
              <w:top w:w="90" w:type="dxa"/>
              <w:start w:w="100" w:type="dxa"/>
              <w:bottom w:w="90" w:type="dxa"/>
              <w:end w:w="100" w:type="dxa"/>
            </w:tcMar>
            <w:vAlign w:val="center"/>
          </w:tcPr>
          <w:p>
            <w:pPr>
              <w:spacing w:after="0" w:line="247" w:lineRule="auto"/>
            </w:pPr>
            <w:r>
              <w:rPr>
                <w:rFonts w:ascii="Arial" w:hAnsi="Arial"/>
                <w:b w:val="0"/>
                <w:color w:val="1F2937"/>
                <w:sz w:val="18"/>
              </w:rPr>
              <w:t>Use the provider for live voice execution rather than rebuilding speech and telephony infrastructure.</w:t>
            </w:r>
          </w:p>
        </w:tc>
      </w:tr>
      <w:tr>
        <w:tc>
          <w:tcPr>
            <w:tcW w:type="dxa" w:w="2520"/>
            <w:tcMar>
              <w:top w:w="90" w:type="dxa"/>
              <w:start w:w="100" w:type="dxa"/>
              <w:bottom w:w="90" w:type="dxa"/>
              <w:end w:w="100" w:type="dxa"/>
            </w:tcMar>
            <w:vAlign w:val="center"/>
            <w:shd w:fill="FAFBFC"/>
          </w:tcPr>
          <w:p>
            <w:pPr>
              <w:spacing w:after="0" w:line="247" w:lineRule="auto"/>
            </w:pPr>
            <w:r>
              <w:rPr>
                <w:rFonts w:ascii="Arial" w:hAnsi="Arial"/>
                <w:b/>
                <w:color w:val="1F2937"/>
                <w:sz w:val="18"/>
              </w:rPr>
              <w:t>Govern before publish</w:t>
            </w:r>
          </w:p>
        </w:tc>
        <w:tc>
          <w:tcPr>
            <w:tcW w:type="dxa" w:w="7416"/>
            <w:tcMar>
              <w:top w:w="90" w:type="dxa"/>
              <w:start w:w="100" w:type="dxa"/>
              <w:bottom w:w="90" w:type="dxa"/>
              <w:end w:w="100" w:type="dxa"/>
            </w:tcMar>
            <w:vAlign w:val="center"/>
            <w:shd w:fill="FAFBFC"/>
          </w:tcPr>
          <w:p>
            <w:pPr>
              <w:spacing w:after="0" w:line="247" w:lineRule="auto"/>
            </w:pPr>
            <w:r>
              <w:rPr>
                <w:rFonts w:ascii="Arial" w:hAnsi="Arial"/>
                <w:b w:val="0"/>
                <w:color w:val="1F2937"/>
                <w:sz w:val="18"/>
              </w:rPr>
              <w:t>No agent or knowledge change reaches production without versioning, tests and required approval.</w:t>
            </w:r>
          </w:p>
        </w:tc>
      </w:tr>
      <w:tr>
        <w:tc>
          <w:tcPr>
            <w:tcW w:type="dxa" w:w="2520"/>
            <w:tcMar>
              <w:top w:w="90" w:type="dxa"/>
              <w:start w:w="100" w:type="dxa"/>
              <w:bottom w:w="90" w:type="dxa"/>
              <w:end w:w="100" w:type="dxa"/>
            </w:tcMar>
            <w:vAlign w:val="center"/>
          </w:tcPr>
          <w:p>
            <w:pPr>
              <w:spacing w:after="0" w:line="247" w:lineRule="auto"/>
            </w:pPr>
            <w:r>
              <w:rPr>
                <w:rFonts w:ascii="Arial" w:hAnsi="Arial"/>
                <w:b/>
                <w:color w:val="1F2937"/>
                <w:sz w:val="18"/>
              </w:rPr>
              <w:t>Receive, normalize, enrich</w:t>
            </w:r>
          </w:p>
        </w:tc>
        <w:tc>
          <w:tcPr>
            <w:tcW w:type="dxa" w:w="7416"/>
            <w:tcMar>
              <w:top w:w="90" w:type="dxa"/>
              <w:start w:w="100" w:type="dxa"/>
              <w:bottom w:w="90" w:type="dxa"/>
              <w:end w:w="100" w:type="dxa"/>
            </w:tcMar>
            <w:vAlign w:val="center"/>
          </w:tcPr>
          <w:p>
            <w:pPr>
              <w:spacing w:after="0" w:line="247" w:lineRule="auto"/>
            </w:pPr>
            <w:r>
              <w:rPr>
                <w:rFonts w:ascii="Arial" w:hAnsi="Arial"/>
                <w:b w:val="0"/>
                <w:color w:val="1F2937"/>
                <w:sz w:val="18"/>
              </w:rPr>
              <w:t>Provider transcripts are source inputs; Quantum Parks produces the canonical record and intelligence.</w:t>
            </w:r>
          </w:p>
        </w:tc>
      </w:tr>
      <w:tr>
        <w:tc>
          <w:tcPr>
            <w:tcW w:type="dxa" w:w="2520"/>
            <w:tcMar>
              <w:top w:w="90" w:type="dxa"/>
              <w:start w:w="100" w:type="dxa"/>
              <w:bottom w:w="90" w:type="dxa"/>
              <w:end w:w="100" w:type="dxa"/>
            </w:tcMar>
            <w:vAlign w:val="center"/>
            <w:shd w:fill="FAFBFC"/>
          </w:tcPr>
          <w:p>
            <w:pPr>
              <w:spacing w:after="0" w:line="247" w:lineRule="auto"/>
            </w:pPr>
            <w:r>
              <w:rPr>
                <w:rFonts w:ascii="Arial" w:hAnsi="Arial"/>
                <w:b/>
                <w:color w:val="1F2937"/>
                <w:sz w:val="18"/>
              </w:rPr>
              <w:t>APIs, not manual copying</w:t>
            </w:r>
          </w:p>
        </w:tc>
        <w:tc>
          <w:tcPr>
            <w:tcW w:type="dxa" w:w="7416"/>
            <w:tcMar>
              <w:top w:w="90" w:type="dxa"/>
              <w:start w:w="100" w:type="dxa"/>
              <w:bottom w:w="90" w:type="dxa"/>
              <w:end w:w="100" w:type="dxa"/>
            </w:tcMar>
            <w:vAlign w:val="center"/>
            <w:shd w:fill="FAFBFC"/>
          </w:tcPr>
          <w:p>
            <w:pPr>
              <w:spacing w:after="0" w:line="247" w:lineRule="auto"/>
            </w:pPr>
            <w:r>
              <w:rPr>
                <w:rFonts w:ascii="Arial" w:hAnsi="Arial"/>
                <w:b w:val="0"/>
                <w:color w:val="1F2937"/>
                <w:sz w:val="18"/>
              </w:rPr>
              <w:t>All supported operational functions are performed through backend API integrations and webhooks.</w:t>
            </w:r>
          </w:p>
        </w:tc>
      </w:tr>
      <w:tr>
        <w:tc>
          <w:tcPr>
            <w:tcW w:type="dxa" w:w="2520"/>
            <w:tcMar>
              <w:top w:w="90" w:type="dxa"/>
              <w:start w:w="100" w:type="dxa"/>
              <w:bottom w:w="90" w:type="dxa"/>
              <w:end w:w="100" w:type="dxa"/>
            </w:tcMar>
            <w:vAlign w:val="center"/>
          </w:tcPr>
          <w:p>
            <w:pPr>
              <w:spacing w:after="0" w:line="247" w:lineRule="auto"/>
            </w:pPr>
            <w:r>
              <w:rPr>
                <w:rFonts w:ascii="Arial" w:hAnsi="Arial"/>
                <w:b/>
                <w:color w:val="1F2937"/>
                <w:sz w:val="18"/>
              </w:rPr>
              <w:t>Human-reviewed improvement</w:t>
            </w:r>
          </w:p>
        </w:tc>
        <w:tc>
          <w:tcPr>
            <w:tcW w:type="dxa" w:w="7416"/>
            <w:tcMar>
              <w:top w:w="90" w:type="dxa"/>
              <w:start w:w="100" w:type="dxa"/>
              <w:bottom w:w="90" w:type="dxa"/>
              <w:end w:w="100" w:type="dxa"/>
            </w:tcMar>
            <w:vAlign w:val="center"/>
          </w:tcPr>
          <w:p>
            <w:pPr>
              <w:spacing w:after="0" w:line="247" w:lineRule="auto"/>
            </w:pPr>
            <w:r>
              <w:rPr>
                <w:rFonts w:ascii="Arial" w:hAnsi="Arial"/>
                <w:b w:val="0"/>
                <w:color w:val="1F2937"/>
                <w:sz w:val="18"/>
              </w:rPr>
              <w:t>Trends may propose changes; they do not publish themselves.</w:t>
            </w:r>
          </w:p>
        </w:tc>
      </w:tr>
      <w:tr>
        <w:tc>
          <w:tcPr>
            <w:tcW w:type="dxa" w:w="2520"/>
            <w:tcMar>
              <w:top w:w="90" w:type="dxa"/>
              <w:start w:w="100" w:type="dxa"/>
              <w:bottom w:w="90" w:type="dxa"/>
              <w:end w:w="100" w:type="dxa"/>
            </w:tcMar>
            <w:vAlign w:val="center"/>
            <w:shd w:fill="FAFBFC"/>
          </w:tcPr>
          <w:p>
            <w:pPr>
              <w:spacing w:after="0" w:line="247" w:lineRule="auto"/>
            </w:pPr>
            <w:r>
              <w:rPr>
                <w:rFonts w:ascii="Arial" w:hAnsi="Arial"/>
                <w:b/>
                <w:color w:val="1F2937"/>
                <w:sz w:val="18"/>
              </w:rPr>
              <w:t>Minimum necessary data</w:t>
            </w:r>
          </w:p>
        </w:tc>
        <w:tc>
          <w:tcPr>
            <w:tcW w:type="dxa" w:w="7416"/>
            <w:tcMar>
              <w:top w:w="90" w:type="dxa"/>
              <w:start w:w="100" w:type="dxa"/>
              <w:bottom w:w="90" w:type="dxa"/>
              <w:end w:w="100" w:type="dxa"/>
            </w:tcMar>
            <w:vAlign w:val="center"/>
            <w:shd w:fill="FAFBFC"/>
          </w:tcPr>
          <w:p>
            <w:pPr>
              <w:spacing w:after="0" w:line="247" w:lineRule="auto"/>
            </w:pPr>
            <w:r>
              <w:rPr>
                <w:rFonts w:ascii="Arial" w:hAnsi="Arial"/>
                <w:b w:val="0"/>
                <w:color w:val="1F2937"/>
                <w:sz w:val="18"/>
              </w:rPr>
              <w:t>Only approved customer and booking context is returned to the agent, and only after required verification.</w:t>
            </w:r>
          </w:p>
        </w:tc>
      </w:tr>
      <w:tr>
        <w:tc>
          <w:tcPr>
            <w:tcW w:type="dxa" w:w="2520"/>
            <w:tcMar>
              <w:top w:w="90" w:type="dxa"/>
              <w:start w:w="100" w:type="dxa"/>
              <w:bottom w:w="90" w:type="dxa"/>
              <w:end w:w="100" w:type="dxa"/>
            </w:tcMar>
            <w:vAlign w:val="center"/>
          </w:tcPr>
          <w:p>
            <w:pPr>
              <w:spacing w:after="0" w:line="247" w:lineRule="auto"/>
            </w:pPr>
            <w:r>
              <w:rPr>
                <w:rFonts w:ascii="Arial" w:hAnsi="Arial"/>
                <w:b/>
                <w:color w:val="1F2937"/>
                <w:sz w:val="18"/>
              </w:rPr>
              <w:t>No false completion</w:t>
            </w:r>
          </w:p>
        </w:tc>
        <w:tc>
          <w:tcPr>
            <w:tcW w:type="dxa" w:w="7416"/>
            <w:tcMar>
              <w:top w:w="90" w:type="dxa"/>
              <w:start w:w="100" w:type="dxa"/>
              <w:bottom w:w="90" w:type="dxa"/>
              <w:end w:w="100" w:type="dxa"/>
            </w:tcMar>
            <w:vAlign w:val="center"/>
          </w:tcPr>
          <w:p>
            <w:pPr>
              <w:spacing w:after="0" w:line="247" w:lineRule="auto"/>
            </w:pPr>
            <w:r>
              <w:rPr>
                <w:rFonts w:ascii="Arial" w:hAnsi="Arial"/>
                <w:b w:val="0"/>
                <w:color w:val="1F2937"/>
                <w:sz w:val="18"/>
              </w:rPr>
              <w:t>The agent and the app must distinguish information, requests, links, tasks and completed actions.</w:t>
            </w:r>
          </w:p>
        </w:tc>
      </w:tr>
      <w:tr>
        <w:tc>
          <w:tcPr>
            <w:tcW w:type="dxa" w:w="2520"/>
            <w:tcMar>
              <w:top w:w="90" w:type="dxa"/>
              <w:start w:w="100" w:type="dxa"/>
              <w:bottom w:w="90" w:type="dxa"/>
              <w:end w:w="100" w:type="dxa"/>
            </w:tcMar>
            <w:vAlign w:val="center"/>
            <w:shd w:fill="FAFBFC"/>
          </w:tcPr>
          <w:p>
            <w:pPr>
              <w:spacing w:after="0" w:line="247" w:lineRule="auto"/>
            </w:pPr>
            <w:r>
              <w:rPr>
                <w:rFonts w:ascii="Arial" w:hAnsi="Arial"/>
                <w:b/>
                <w:color w:val="1F2937"/>
                <w:sz w:val="18"/>
              </w:rPr>
              <w:t>Provider limitations are visible</w:t>
            </w:r>
          </w:p>
        </w:tc>
        <w:tc>
          <w:tcPr>
            <w:tcW w:type="dxa" w:w="7416"/>
            <w:tcMar>
              <w:top w:w="90" w:type="dxa"/>
              <w:start w:w="100" w:type="dxa"/>
              <w:bottom w:w="90" w:type="dxa"/>
              <w:end w:w="100" w:type="dxa"/>
            </w:tcMar>
            <w:vAlign w:val="center"/>
            <w:shd w:fill="FAFBFC"/>
          </w:tcPr>
          <w:p>
            <w:pPr>
              <w:spacing w:after="0" w:line="247" w:lineRule="auto"/>
            </w:pPr>
            <w:r>
              <w:rPr>
                <w:rFonts w:ascii="Arial" w:hAnsi="Arial"/>
                <w:b w:val="0"/>
                <w:color w:val="1F2937"/>
                <w:sz w:val="18"/>
              </w:rPr>
              <w:t>Unsupported or account-gated capabilities are shown as activation dependencies, not hidden behind fake success.</w:t>
            </w:r>
          </w:p>
        </w:tc>
      </w:tr>
    </w:tbl>
    <w:p>
      <w:pPr>
        <w:spacing w:after="40"/>
      </w:pPr>
    </w:p>
    <w:p>
      <w:pPr>
        <w:pStyle w:val="Heading2"/>
        <w:keepNext/>
      </w:pPr>
      <w:r>
        <w:rPr>
          <w:rFonts w:ascii="Arial" w:hAnsi="Arial"/>
        </w:rPr>
        <w:t>4.2 In scope</w:t>
      </w:r>
    </w:p>
    <w:p>
      <w:pPr>
        <w:pStyle w:val="ListBullet"/>
        <w:spacing w:before="0" w:after="60" w:line="259" w:lineRule="auto"/>
      </w:pPr>
      <w:r>
        <w:rPr>
          <w:rFonts w:ascii="Arial" w:hAnsi="Arial"/>
          <w:sz w:val="20"/>
        </w:rPr>
        <w:t>ElevenLabs workspace connection, service-account credentials, health, quotas and synchronization status.</w:t>
      </w:r>
    </w:p>
    <w:p>
      <w:pPr>
        <w:pStyle w:val="ListBullet"/>
        <w:spacing w:before="0" w:after="60" w:line="259" w:lineRule="auto"/>
      </w:pPr>
      <w:r>
        <w:rPr>
          <w:rFonts w:ascii="Arial" w:hAnsi="Arial"/>
          <w:sz w:val="20"/>
        </w:rPr>
        <w:t>Agent creation, configuration, versioning, publishing, rollback and environment promotion from the Quantum Parks application.</w:t>
      </w:r>
    </w:p>
    <w:p>
      <w:pPr>
        <w:pStyle w:val="ListBullet"/>
        <w:spacing w:before="0" w:after="60" w:line="259" w:lineRule="auto"/>
      </w:pPr>
      <w:r>
        <w:rPr>
          <w:rFonts w:ascii="Arial" w:hAnsi="Arial"/>
          <w:sz w:val="20"/>
        </w:rPr>
        <w:t>Prompt, greeting, disclosure, language, workflow, tool and transfer-rule management.</w:t>
      </w:r>
    </w:p>
    <w:p>
      <w:pPr>
        <w:pStyle w:val="ListBullet"/>
        <w:spacing w:before="0" w:after="60" w:line="259" w:lineRule="auto"/>
      </w:pPr>
      <w:r>
        <w:rPr>
          <w:rFonts w:ascii="Arial" w:hAnsi="Arial"/>
          <w:sz w:val="20"/>
        </w:rPr>
        <w:t>Company knowledge authoring, upload, metadata, review, approval, synchronization, assignment, withdrawal and rollback.</w:t>
      </w:r>
    </w:p>
    <w:p>
      <w:pPr>
        <w:pStyle w:val="ListBullet"/>
        <w:spacing w:before="0" w:after="60" w:line="259" w:lineRule="auto"/>
      </w:pPr>
      <w:r>
        <w:rPr>
          <w:rFonts w:ascii="Arial" w:hAnsi="Arial"/>
          <w:sz w:val="20"/>
        </w:rPr>
        <w:t>Voice catalogue, preview, comparison, language assignment and governed custom-voice workflows where supported and approved.</w:t>
      </w:r>
    </w:p>
    <w:p>
      <w:pPr>
        <w:pStyle w:val="ListBullet"/>
        <w:spacing w:before="0" w:after="60" w:line="259" w:lineRule="auto"/>
      </w:pPr>
      <w:r>
        <w:rPr>
          <w:rFonts w:ascii="Arial" w:hAnsi="Arial"/>
          <w:sz w:val="20"/>
        </w:rPr>
        <w:t>An in-app Agent Test Studio using ElevenLabs testing APIs and Quantum Parks-owned pass/fail criteria.</w:t>
      </w:r>
    </w:p>
    <w:p>
      <w:pPr>
        <w:pStyle w:val="ListBullet"/>
        <w:spacing w:before="0" w:after="60" w:line="259" w:lineRule="auto"/>
      </w:pPr>
      <w:r>
        <w:rPr>
          <w:rFonts w:ascii="Arial" w:hAnsi="Arial"/>
          <w:sz w:val="20"/>
        </w:rPr>
        <w:t>Inbound-call personalization and secure tool endpoints for approved customer, booking, support, availability, link, task and callback functions.</w:t>
      </w:r>
    </w:p>
    <w:p>
      <w:pPr>
        <w:pStyle w:val="ListBullet"/>
        <w:spacing w:before="0" w:after="60" w:line="259" w:lineRule="auto"/>
      </w:pPr>
      <w:r>
        <w:rPr>
          <w:rFonts w:ascii="Arial" w:hAnsi="Arial"/>
          <w:sz w:val="20"/>
        </w:rPr>
        <w:t>Signed post-call webhook ingestion, canonical transcript storage, summaries, classifications, outcomes, customer timelines and reconciliation.</w:t>
      </w:r>
    </w:p>
    <w:p>
      <w:pPr>
        <w:pStyle w:val="ListBullet"/>
        <w:spacing w:before="0" w:after="60" w:line="259" w:lineRule="auto"/>
      </w:pPr>
      <w:r>
        <w:rPr>
          <w:rFonts w:ascii="Arial" w:hAnsi="Arial"/>
          <w:sz w:val="20"/>
        </w:rPr>
        <w:t>Operations dashboards, call search, QA, knowledge gaps, trends, scheduled reports, exports and audit.</w:t>
      </w:r>
    </w:p>
    <w:p>
      <w:pPr>
        <w:pStyle w:val="ListBullet"/>
        <w:spacing w:before="0" w:after="60" w:line="259" w:lineRule="auto"/>
      </w:pPr>
      <w:r>
        <w:rPr>
          <w:rFonts w:ascii="Arial" w:hAnsi="Arial"/>
          <w:sz w:val="20"/>
        </w:rPr>
        <w:t>WhatsApp/SMS follow-up, human handoff tracking, callbacks and staff tasks.</w:t>
      </w:r>
    </w:p>
    <w:p>
      <w:pPr>
        <w:pStyle w:val="Heading2"/>
        <w:keepNext/>
      </w:pPr>
      <w:r>
        <w:rPr>
          <w:rFonts w:ascii="Arial" w:hAnsi="Arial"/>
        </w:rPr>
        <w:t>4.3 Activation-gated capabilities</w:t>
      </w:r>
    </w:p>
    <w:p>
      <w:pPr>
        <w:pStyle w:val="ListBullet"/>
        <w:spacing w:before="0" w:after="60" w:line="259" w:lineRule="auto"/>
      </w:pPr>
      <w:r>
        <w:rPr>
          <w:rFonts w:ascii="Arial" w:hAnsi="Arial"/>
          <w:sz w:val="20"/>
        </w:rPr>
        <w:t>Custom or cloned voices require documented consent, provider eligibility and internal approval.</w:t>
      </w:r>
    </w:p>
    <w:p>
      <w:pPr>
        <w:pStyle w:val="ListBullet"/>
        <w:spacing w:before="0" w:after="60" w:line="259" w:lineRule="auto"/>
      </w:pPr>
      <w:r>
        <w:rPr>
          <w:rFonts w:ascii="Arial" w:hAnsi="Arial"/>
          <w:sz w:val="20"/>
        </w:rPr>
        <w:t>Additional production languages require native-speaker QA and approved voice/knowledge coverage.</w:t>
      </w:r>
    </w:p>
    <w:p>
      <w:pPr>
        <w:pStyle w:val="ListBullet"/>
        <w:spacing w:before="0" w:after="60" w:line="259" w:lineRule="auto"/>
      </w:pPr>
      <w:r>
        <w:rPr>
          <w:rFonts w:ascii="Arial" w:hAnsi="Arial"/>
          <w:sz w:val="20"/>
        </w:rPr>
        <w:t>Recording and audio retention require approved disclosure, retention and access policies.</w:t>
      </w:r>
    </w:p>
    <w:p>
      <w:pPr>
        <w:pStyle w:val="ListBullet"/>
        <w:spacing w:before="0" w:after="60" w:line="259" w:lineRule="auto"/>
      </w:pPr>
      <w:r>
        <w:rPr>
          <w:rFonts w:ascii="Arial" w:hAnsi="Arial"/>
          <w:sz w:val="20"/>
        </w:rPr>
        <w:t>Controlled low-risk write actions require explicit allowlists, authorization, idempotency and rollback.</w:t>
      </w:r>
    </w:p>
    <w:p>
      <w:pPr>
        <w:pStyle w:val="ListBullet"/>
        <w:spacing w:before="0" w:after="60" w:line="259" w:lineRule="auto"/>
      </w:pPr>
      <w:r>
        <w:rPr>
          <w:rFonts w:ascii="Arial" w:hAnsi="Arial"/>
          <w:sz w:val="20"/>
        </w:rPr>
        <w:t>Direct booking or any capacity/payment-affecting action remains disabled unless separately approved.</w:t>
      </w:r>
    </w:p>
    <w:p>
      <w:pPr>
        <w:pStyle w:val="Heading2"/>
        <w:keepNext/>
      </w:pPr>
      <w:r>
        <w:rPr>
          <w:rFonts w:ascii="Arial" w:hAnsi="Arial"/>
        </w:rPr>
        <w:t>4.4 Non-goals</w:t>
      </w:r>
    </w:p>
    <w:p>
      <w:pPr>
        <w:pStyle w:val="ListBullet"/>
        <w:spacing w:before="0" w:after="60" w:line="259" w:lineRule="auto"/>
      </w:pPr>
      <w:r>
        <w:rPr>
          <w:rFonts w:ascii="Arial" w:hAnsi="Arial"/>
          <w:sz w:val="20"/>
        </w:rPr>
        <w:t>Building a custom telephone carrier, SIP platform, media gateway, speech-to-text engine, text-to-speech engine or live turn-management engine.</w:t>
      </w:r>
    </w:p>
    <w:p>
      <w:pPr>
        <w:pStyle w:val="ListBullet"/>
        <w:spacing w:before="0" w:after="60" w:line="259" w:lineRule="auto"/>
      </w:pPr>
      <w:r>
        <w:rPr>
          <w:rFonts w:ascii="Arial" w:hAnsi="Arial"/>
          <w:sz w:val="20"/>
        </w:rPr>
        <w:t>Requiring normal users to sign in to or operate the ElevenLabs console.</w:t>
      </w:r>
    </w:p>
    <w:p>
      <w:pPr>
        <w:pStyle w:val="ListBullet"/>
        <w:spacing w:before="0" w:after="60" w:line="259" w:lineRule="auto"/>
      </w:pPr>
      <w:r>
        <w:rPr>
          <w:rFonts w:ascii="Arial" w:hAnsi="Arial"/>
          <w:sz w:val="20"/>
        </w:rPr>
        <w:t>Replacing the booking platform, Zendesk, the website or the customer database.</w:t>
      </w:r>
    </w:p>
    <w:p>
      <w:pPr>
        <w:pStyle w:val="ListBullet"/>
        <w:spacing w:before="0" w:after="60" w:line="259" w:lineRule="auto"/>
      </w:pPr>
      <w:r>
        <w:rPr>
          <w:rFonts w:ascii="Arial" w:hAnsi="Arial"/>
          <w:sz w:val="20"/>
        </w:rPr>
        <w:t>Automatically publishing knowledge or prompt changes derived from call trends.</w:t>
      </w:r>
    </w:p>
    <w:p>
      <w:pPr>
        <w:pStyle w:val="ListBullet"/>
        <w:spacing w:before="0" w:after="60" w:line="259" w:lineRule="auto"/>
      </w:pPr>
      <w:r>
        <w:rPr>
          <w:rFonts w:ascii="Arial" w:hAnsi="Arial"/>
          <w:sz w:val="20"/>
        </w:rPr>
        <w:t>Accepting payment-card details or processing payment through voice.</w:t>
      </w:r>
    </w:p>
    <w:p>
      <w:pPr>
        <w:pStyle w:val="ListBullet"/>
        <w:spacing w:before="0" w:after="60" w:line="259" w:lineRule="auto"/>
      </w:pPr>
      <w:r>
        <w:rPr>
          <w:rFonts w:ascii="Arial" w:hAnsi="Arial"/>
          <w:sz w:val="20"/>
        </w:rPr>
        <w:t>Creating uncommitted capacity reservations or implying that a booking changed when it did not.</w:t>
      </w:r>
    </w:p>
    <w:p>
      <w:pPr>
        <w:pStyle w:val="ListBullet"/>
        <w:spacing w:before="0" w:after="60" w:line="259" w:lineRule="auto"/>
      </w:pPr>
      <w:r>
        <w:rPr>
          <w:rFonts w:ascii="Arial" w:hAnsi="Arial"/>
          <w:sz w:val="20"/>
        </w:rPr>
        <w:t>Making legal, medical, insurance or liability determinations.</w:t>
      </w:r>
    </w:p>
    <w:p>
      <w:pPr>
        <w:pStyle w:val="ListBullet"/>
        <w:spacing w:before="0" w:after="60" w:line="259" w:lineRule="auto"/>
      </w:pPr>
      <w:r>
        <w:rPr>
          <w:rFonts w:ascii="Arial" w:hAnsi="Arial"/>
          <w:sz w:val="20"/>
        </w:rPr>
        <w:t>Managing ElevenLabs commercial contracting, plan purchase or billing if those functions are not exposed by supported APIs.</w:t>
      </w:r>
    </w:p>
    <w:p>
      <w:pPr>
        <w:pStyle w:val="Heading1"/>
        <w:keepNext/>
        <w:pageBreakBefore w:val="0"/>
      </w:pPr>
      <w:r>
        <w:rPr>
          <w:rFonts w:ascii="Arial" w:hAnsi="Arial"/>
        </w:rPr>
        <w:t>5  Users, roles and permissions</w:t>
      </w:r>
    </w:p>
    <w:p>
      <w:pPr>
        <w:pStyle w:val="Heading2"/>
        <w:keepNext/>
      </w:pPr>
      <w:r>
        <w:rPr>
          <w:rFonts w:ascii="Arial" w:hAnsi="Arial"/>
        </w:rPr>
        <w:t>5.1 Primary user groups</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2592"/>
        <w:gridCol w:w="7344"/>
      </w:tblGrid>
      <w:tr>
        <w:trPr>
          <w:tblHeader w:val="true"/>
        </w:trPr>
        <w:tc>
          <w:tcPr>
            <w:tcW w:type="dxa" w:w="2592"/>
            <w:shd w:fill="12304A"/>
            <w:tcMar>
              <w:top w:w="100" w:type="dxa"/>
              <w:start w:w="100" w:type="dxa"/>
              <w:bottom w:w="100" w:type="dxa"/>
              <w:end w:w="100" w:type="dxa"/>
            </w:tcMar>
            <w:vAlign w:val="center"/>
          </w:tcPr>
          <w:p>
            <w:pPr>
              <w:spacing w:after="0"/>
              <w:jc w:val="center"/>
            </w:pPr>
            <w:r>
              <w:rPr>
                <w:rFonts w:ascii="Arial" w:hAnsi="Arial"/>
                <w:b/>
                <w:color w:val="FFFFFF"/>
                <w:sz w:val="18"/>
              </w:rPr>
              <w:t>Role</w:t>
            </w:r>
          </w:p>
        </w:tc>
        <w:tc>
          <w:tcPr>
            <w:tcW w:type="dxa" w:w="7343"/>
            <w:shd w:fill="12304A"/>
            <w:tcMar>
              <w:top w:w="100" w:type="dxa"/>
              <w:start w:w="100" w:type="dxa"/>
              <w:bottom w:w="100" w:type="dxa"/>
              <w:end w:w="100" w:type="dxa"/>
            </w:tcMar>
            <w:vAlign w:val="center"/>
          </w:tcPr>
          <w:p>
            <w:pPr>
              <w:spacing w:after="0"/>
              <w:jc w:val="center"/>
            </w:pPr>
            <w:r>
              <w:rPr>
                <w:rFonts w:ascii="Arial" w:hAnsi="Arial"/>
                <w:b/>
                <w:color w:val="FFFFFF"/>
                <w:sz w:val="18"/>
              </w:rPr>
              <w:t>Primary responsibility</w:t>
            </w:r>
          </w:p>
        </w:tc>
      </w:tr>
      <w:tr>
        <w:tc>
          <w:tcPr>
            <w:tcW w:type="dxa" w:w="2592"/>
            <w:tcMar>
              <w:top w:w="90" w:type="dxa"/>
              <w:start w:w="100" w:type="dxa"/>
              <w:bottom w:w="90" w:type="dxa"/>
              <w:end w:w="100" w:type="dxa"/>
            </w:tcMar>
            <w:vAlign w:val="center"/>
          </w:tcPr>
          <w:p>
            <w:pPr>
              <w:spacing w:after="0" w:line="247" w:lineRule="auto"/>
            </w:pPr>
            <w:r>
              <w:rPr>
                <w:rFonts w:ascii="Arial" w:hAnsi="Arial"/>
                <w:b/>
                <w:color w:val="1F2937"/>
                <w:sz w:val="18"/>
              </w:rPr>
              <w:t>Platform Owner</w:t>
            </w:r>
          </w:p>
        </w:tc>
        <w:tc>
          <w:tcPr>
            <w:tcW w:type="dxa" w:w="7343"/>
            <w:tcMar>
              <w:top w:w="90" w:type="dxa"/>
              <w:start w:w="100" w:type="dxa"/>
              <w:bottom w:w="90" w:type="dxa"/>
              <w:end w:w="100" w:type="dxa"/>
            </w:tcMar>
            <w:vAlign w:val="center"/>
          </w:tcPr>
          <w:p>
            <w:pPr>
              <w:spacing w:after="0" w:line="247" w:lineRule="auto"/>
            </w:pPr>
            <w:r>
              <w:rPr>
                <w:rFonts w:ascii="Arial" w:hAnsi="Arial"/>
                <w:b w:val="0"/>
                <w:color w:val="1F2937"/>
                <w:sz w:val="18"/>
              </w:rPr>
              <w:t>Connects the ElevenLabs workspace, manages environments, provider settings, release authority and emergency rollback.</w:t>
            </w:r>
          </w:p>
        </w:tc>
      </w:tr>
      <w:tr>
        <w:tc>
          <w:tcPr>
            <w:tcW w:type="dxa" w:w="2592"/>
            <w:tcMar>
              <w:top w:w="90" w:type="dxa"/>
              <w:start w:w="100" w:type="dxa"/>
              <w:bottom w:w="90" w:type="dxa"/>
              <w:end w:w="100" w:type="dxa"/>
            </w:tcMar>
            <w:vAlign w:val="center"/>
            <w:shd w:fill="FAFBFC"/>
          </w:tcPr>
          <w:p>
            <w:pPr>
              <w:spacing w:after="0" w:line="247" w:lineRule="auto"/>
            </w:pPr>
            <w:r>
              <w:rPr>
                <w:rFonts w:ascii="Arial" w:hAnsi="Arial"/>
                <w:b/>
                <w:color w:val="1F2937"/>
                <w:sz w:val="18"/>
              </w:rPr>
              <w:t>Agent Administrator</w:t>
            </w:r>
          </w:p>
        </w:tc>
        <w:tc>
          <w:tcPr>
            <w:tcW w:type="dxa" w:w="7343"/>
            <w:tcMar>
              <w:top w:w="90" w:type="dxa"/>
              <w:start w:w="100" w:type="dxa"/>
              <w:bottom w:w="90" w:type="dxa"/>
              <w:end w:w="100" w:type="dxa"/>
            </w:tcMar>
            <w:vAlign w:val="center"/>
            <w:shd w:fill="FAFBFC"/>
          </w:tcPr>
          <w:p>
            <w:pPr>
              <w:spacing w:after="0" w:line="247" w:lineRule="auto"/>
            </w:pPr>
            <w:r>
              <w:rPr>
                <w:rFonts w:ascii="Arial" w:hAnsi="Arial"/>
                <w:b w:val="0"/>
                <w:color w:val="1F2937"/>
                <w:sz w:val="18"/>
              </w:rPr>
              <w:t>Configures prompts, languages, workflows, tools, voices and transfer rules.</w:t>
            </w:r>
          </w:p>
        </w:tc>
      </w:tr>
      <w:tr>
        <w:tc>
          <w:tcPr>
            <w:tcW w:type="dxa" w:w="2592"/>
            <w:tcMar>
              <w:top w:w="90" w:type="dxa"/>
              <w:start w:w="100" w:type="dxa"/>
              <w:bottom w:w="90" w:type="dxa"/>
              <w:end w:w="100" w:type="dxa"/>
            </w:tcMar>
            <w:vAlign w:val="center"/>
          </w:tcPr>
          <w:p>
            <w:pPr>
              <w:spacing w:after="0" w:line="247" w:lineRule="auto"/>
            </w:pPr>
            <w:r>
              <w:rPr>
                <w:rFonts w:ascii="Arial" w:hAnsi="Arial"/>
                <w:b/>
                <w:color w:val="1F2937"/>
                <w:sz w:val="18"/>
              </w:rPr>
              <w:t>Knowledge Editor</w:t>
            </w:r>
          </w:p>
        </w:tc>
        <w:tc>
          <w:tcPr>
            <w:tcW w:type="dxa" w:w="7343"/>
            <w:tcMar>
              <w:top w:w="90" w:type="dxa"/>
              <w:start w:w="100" w:type="dxa"/>
              <w:bottom w:w="90" w:type="dxa"/>
              <w:end w:w="100" w:type="dxa"/>
            </w:tcMar>
            <w:vAlign w:val="center"/>
          </w:tcPr>
          <w:p>
            <w:pPr>
              <w:spacing w:after="0" w:line="247" w:lineRule="auto"/>
            </w:pPr>
            <w:r>
              <w:rPr>
                <w:rFonts w:ascii="Arial" w:hAnsi="Arial"/>
                <w:b w:val="0"/>
                <w:color w:val="1F2937"/>
                <w:sz w:val="18"/>
              </w:rPr>
              <w:t>Creates and updates FAQs, SOPs, policies, schedules, prices and corporate documents.</w:t>
            </w:r>
          </w:p>
        </w:tc>
      </w:tr>
      <w:tr>
        <w:tc>
          <w:tcPr>
            <w:tcW w:type="dxa" w:w="2592"/>
            <w:tcMar>
              <w:top w:w="90" w:type="dxa"/>
              <w:start w:w="100" w:type="dxa"/>
              <w:bottom w:w="90" w:type="dxa"/>
              <w:end w:w="100" w:type="dxa"/>
            </w:tcMar>
            <w:vAlign w:val="center"/>
            <w:shd w:fill="FAFBFC"/>
          </w:tcPr>
          <w:p>
            <w:pPr>
              <w:spacing w:after="0" w:line="247" w:lineRule="auto"/>
            </w:pPr>
            <w:r>
              <w:rPr>
                <w:rFonts w:ascii="Arial" w:hAnsi="Arial"/>
                <w:b/>
                <w:color w:val="1F2937"/>
                <w:sz w:val="18"/>
              </w:rPr>
              <w:t>Knowledge Approver</w:t>
            </w:r>
          </w:p>
        </w:tc>
        <w:tc>
          <w:tcPr>
            <w:tcW w:type="dxa" w:w="7343"/>
            <w:tcMar>
              <w:top w:w="90" w:type="dxa"/>
              <w:start w:w="100" w:type="dxa"/>
              <w:bottom w:w="90" w:type="dxa"/>
              <w:end w:w="100" w:type="dxa"/>
            </w:tcMar>
            <w:vAlign w:val="center"/>
            <w:shd w:fill="FAFBFC"/>
          </w:tcPr>
          <w:p>
            <w:pPr>
              <w:spacing w:after="0" w:line="247" w:lineRule="auto"/>
            </w:pPr>
            <w:r>
              <w:rPr>
                <w:rFonts w:ascii="Arial" w:hAnsi="Arial"/>
                <w:b w:val="0"/>
                <w:color w:val="1F2937"/>
                <w:sz w:val="18"/>
              </w:rPr>
              <w:t>Reviews and approves content; high-risk categories may require two approvers.</w:t>
            </w:r>
          </w:p>
        </w:tc>
      </w:tr>
      <w:tr>
        <w:tc>
          <w:tcPr>
            <w:tcW w:type="dxa" w:w="2592"/>
            <w:tcMar>
              <w:top w:w="90" w:type="dxa"/>
              <w:start w:w="100" w:type="dxa"/>
              <w:bottom w:w="90" w:type="dxa"/>
              <w:end w:w="100" w:type="dxa"/>
            </w:tcMar>
            <w:vAlign w:val="center"/>
          </w:tcPr>
          <w:p>
            <w:pPr>
              <w:spacing w:after="0" w:line="247" w:lineRule="auto"/>
            </w:pPr>
            <w:r>
              <w:rPr>
                <w:rFonts w:ascii="Arial" w:hAnsi="Arial"/>
                <w:b/>
                <w:color w:val="1F2937"/>
                <w:sz w:val="18"/>
              </w:rPr>
              <w:t>QA Reviewer</w:t>
            </w:r>
          </w:p>
        </w:tc>
        <w:tc>
          <w:tcPr>
            <w:tcW w:type="dxa" w:w="7343"/>
            <w:tcMar>
              <w:top w:w="90" w:type="dxa"/>
              <w:start w:w="100" w:type="dxa"/>
              <w:bottom w:w="90" w:type="dxa"/>
              <w:end w:w="100" w:type="dxa"/>
            </w:tcMar>
            <w:vAlign w:val="center"/>
          </w:tcPr>
          <w:p>
            <w:pPr>
              <w:spacing w:after="0" w:line="247" w:lineRule="auto"/>
            </w:pPr>
            <w:r>
              <w:rPr>
                <w:rFonts w:ascii="Arial" w:hAnsi="Arial"/>
                <w:b w:val="0"/>
                <w:color w:val="1F2937"/>
                <w:sz w:val="18"/>
              </w:rPr>
              <w:t>Creates tests, runs regression suites, reviews calls and signs off language and agent quality.</w:t>
            </w:r>
          </w:p>
        </w:tc>
      </w:tr>
      <w:tr>
        <w:tc>
          <w:tcPr>
            <w:tcW w:type="dxa" w:w="2592"/>
            <w:tcMar>
              <w:top w:w="90" w:type="dxa"/>
              <w:start w:w="100" w:type="dxa"/>
              <w:bottom w:w="90" w:type="dxa"/>
              <w:end w:w="100" w:type="dxa"/>
            </w:tcMar>
            <w:vAlign w:val="center"/>
            <w:shd w:fill="FAFBFC"/>
          </w:tcPr>
          <w:p>
            <w:pPr>
              <w:spacing w:after="0" w:line="247" w:lineRule="auto"/>
            </w:pPr>
            <w:r>
              <w:rPr>
                <w:rFonts w:ascii="Arial" w:hAnsi="Arial"/>
                <w:b/>
                <w:color w:val="1F2937"/>
                <w:sz w:val="18"/>
              </w:rPr>
              <w:t>Operations Manager</w:t>
            </w:r>
          </w:p>
        </w:tc>
        <w:tc>
          <w:tcPr>
            <w:tcW w:type="dxa" w:w="7343"/>
            <w:tcMar>
              <w:top w:w="90" w:type="dxa"/>
              <w:start w:w="100" w:type="dxa"/>
              <w:bottom w:w="90" w:type="dxa"/>
              <w:end w:w="100" w:type="dxa"/>
            </w:tcMar>
            <w:vAlign w:val="center"/>
            <w:shd w:fill="FAFBFC"/>
          </w:tcPr>
          <w:p>
            <w:pPr>
              <w:spacing w:after="0" w:line="247" w:lineRule="auto"/>
            </w:pPr>
            <w:r>
              <w:rPr>
                <w:rFonts w:ascii="Arial" w:hAnsi="Arial"/>
                <w:b w:val="0"/>
                <w:color w:val="1F2937"/>
                <w:sz w:val="18"/>
              </w:rPr>
              <w:t>Monitors calls, queues, callbacks, failures, provider health and operational SLAs.</w:t>
            </w:r>
          </w:p>
        </w:tc>
      </w:tr>
      <w:tr>
        <w:tc>
          <w:tcPr>
            <w:tcW w:type="dxa" w:w="2592"/>
            <w:tcMar>
              <w:top w:w="90" w:type="dxa"/>
              <w:start w:w="100" w:type="dxa"/>
              <w:bottom w:w="90" w:type="dxa"/>
              <w:end w:w="100" w:type="dxa"/>
            </w:tcMar>
            <w:vAlign w:val="center"/>
          </w:tcPr>
          <w:p>
            <w:pPr>
              <w:spacing w:after="0" w:line="247" w:lineRule="auto"/>
            </w:pPr>
            <w:r>
              <w:rPr>
                <w:rFonts w:ascii="Arial" w:hAnsi="Arial"/>
                <w:b/>
                <w:color w:val="1F2937"/>
                <w:sz w:val="18"/>
              </w:rPr>
              <w:t>Customer Service Operator</w:t>
            </w:r>
          </w:p>
        </w:tc>
        <w:tc>
          <w:tcPr>
            <w:tcW w:type="dxa" w:w="7343"/>
            <w:tcMar>
              <w:top w:w="90" w:type="dxa"/>
              <w:start w:w="100" w:type="dxa"/>
              <w:bottom w:w="90" w:type="dxa"/>
              <w:end w:w="100" w:type="dxa"/>
            </w:tcMar>
            <w:vAlign w:val="center"/>
          </w:tcPr>
          <w:p>
            <w:pPr>
              <w:spacing w:after="0" w:line="247" w:lineRule="auto"/>
            </w:pPr>
            <w:r>
              <w:rPr>
                <w:rFonts w:ascii="Arial" w:hAnsi="Arial"/>
                <w:b w:val="0"/>
                <w:color w:val="1F2937"/>
                <w:sz w:val="18"/>
              </w:rPr>
              <w:t>Receives handoffs, resolves callbacks and completes staff tasks with permitted context.</w:t>
            </w:r>
          </w:p>
        </w:tc>
      </w:tr>
      <w:tr>
        <w:tc>
          <w:tcPr>
            <w:tcW w:type="dxa" w:w="2592"/>
            <w:tcMar>
              <w:top w:w="90" w:type="dxa"/>
              <w:start w:w="100" w:type="dxa"/>
              <w:bottom w:w="90" w:type="dxa"/>
              <w:end w:w="100" w:type="dxa"/>
            </w:tcMar>
            <w:vAlign w:val="center"/>
            <w:shd w:fill="FAFBFC"/>
          </w:tcPr>
          <w:p>
            <w:pPr>
              <w:spacing w:after="0" w:line="247" w:lineRule="auto"/>
            </w:pPr>
            <w:r>
              <w:rPr>
                <w:rFonts w:ascii="Arial" w:hAnsi="Arial"/>
                <w:b/>
                <w:color w:val="1F2937"/>
                <w:sz w:val="18"/>
              </w:rPr>
              <w:t>Analyst / Executive</w:t>
            </w:r>
          </w:p>
        </w:tc>
        <w:tc>
          <w:tcPr>
            <w:tcW w:type="dxa" w:w="7343"/>
            <w:tcMar>
              <w:top w:w="90" w:type="dxa"/>
              <w:start w:w="100" w:type="dxa"/>
              <w:bottom w:w="90" w:type="dxa"/>
              <w:end w:w="100" w:type="dxa"/>
            </w:tcMar>
            <w:vAlign w:val="center"/>
            <w:shd w:fill="FAFBFC"/>
          </w:tcPr>
          <w:p>
            <w:pPr>
              <w:spacing w:after="0" w:line="247" w:lineRule="auto"/>
            </w:pPr>
            <w:r>
              <w:rPr>
                <w:rFonts w:ascii="Arial" w:hAnsi="Arial"/>
                <w:b w:val="0"/>
                <w:color w:val="1F2937"/>
                <w:sz w:val="18"/>
              </w:rPr>
              <w:t>Uses dashboards, trends, scheduled reports and exports without editing runtime configuration.</w:t>
            </w:r>
          </w:p>
        </w:tc>
      </w:tr>
      <w:tr>
        <w:tc>
          <w:tcPr>
            <w:tcW w:type="dxa" w:w="2592"/>
            <w:tcMar>
              <w:top w:w="90" w:type="dxa"/>
              <w:start w:w="100" w:type="dxa"/>
              <w:bottom w:w="90" w:type="dxa"/>
              <w:end w:w="100" w:type="dxa"/>
            </w:tcMar>
            <w:vAlign w:val="center"/>
          </w:tcPr>
          <w:p>
            <w:pPr>
              <w:spacing w:after="0" w:line="247" w:lineRule="auto"/>
            </w:pPr>
            <w:r>
              <w:rPr>
                <w:rFonts w:ascii="Arial" w:hAnsi="Arial"/>
                <w:b/>
                <w:color w:val="1F2937"/>
                <w:sz w:val="18"/>
              </w:rPr>
              <w:t>Privacy / Security Auditor</w:t>
            </w:r>
          </w:p>
        </w:tc>
        <w:tc>
          <w:tcPr>
            <w:tcW w:type="dxa" w:w="7343"/>
            <w:tcMar>
              <w:top w:w="90" w:type="dxa"/>
              <w:start w:w="100" w:type="dxa"/>
              <w:bottom w:w="90" w:type="dxa"/>
              <w:end w:w="100" w:type="dxa"/>
            </w:tcMar>
            <w:vAlign w:val="center"/>
          </w:tcPr>
          <w:p>
            <w:pPr>
              <w:spacing w:after="0" w:line="247" w:lineRule="auto"/>
            </w:pPr>
            <w:r>
              <w:rPr>
                <w:rFonts w:ascii="Arial" w:hAnsi="Arial"/>
                <w:b w:val="0"/>
                <w:color w:val="1F2937"/>
                <w:sz w:val="18"/>
              </w:rPr>
              <w:t>Reviews access, retention, deletion, sensitive calls, webhook security and audit evidence.</w:t>
            </w:r>
          </w:p>
        </w:tc>
      </w:tr>
      <w:tr>
        <w:tc>
          <w:tcPr>
            <w:tcW w:type="dxa" w:w="2592"/>
            <w:tcMar>
              <w:top w:w="90" w:type="dxa"/>
              <w:start w:w="100" w:type="dxa"/>
              <w:bottom w:w="90" w:type="dxa"/>
              <w:end w:w="100" w:type="dxa"/>
            </w:tcMar>
            <w:vAlign w:val="center"/>
            <w:shd w:fill="FAFBFC"/>
          </w:tcPr>
          <w:p>
            <w:pPr>
              <w:spacing w:after="0" w:line="247" w:lineRule="auto"/>
            </w:pPr>
            <w:r>
              <w:rPr>
                <w:rFonts w:ascii="Arial" w:hAnsi="Arial"/>
                <w:b/>
                <w:color w:val="1F2937"/>
                <w:sz w:val="18"/>
              </w:rPr>
              <w:t>Restricted Vendor Administrator</w:t>
            </w:r>
          </w:p>
        </w:tc>
        <w:tc>
          <w:tcPr>
            <w:tcW w:type="dxa" w:w="7343"/>
            <w:tcMar>
              <w:top w:w="90" w:type="dxa"/>
              <w:start w:w="100" w:type="dxa"/>
              <w:bottom w:w="90" w:type="dxa"/>
              <w:end w:w="100" w:type="dxa"/>
            </w:tcMar>
            <w:vAlign w:val="center"/>
            <w:shd w:fill="FAFBFC"/>
          </w:tcPr>
          <w:p>
            <w:pPr>
              <w:spacing w:after="0" w:line="247" w:lineRule="auto"/>
            </w:pPr>
            <w:r>
              <w:rPr>
                <w:rFonts w:ascii="Arial" w:hAnsi="Arial"/>
                <w:b w:val="0"/>
                <w:color w:val="1F2937"/>
                <w:sz w:val="18"/>
              </w:rPr>
              <w:t>Uses the ElevenLabs portal only for account, contract, billing or API-inaccessible vendor tasks.</w:t>
            </w:r>
          </w:p>
        </w:tc>
      </w:tr>
    </w:tbl>
    <w:p>
      <w:pPr>
        <w:spacing w:after="40"/>
      </w:pPr>
    </w:p>
    <w:p>
      <w:pPr>
        <w:pStyle w:val="Heading2"/>
        <w:keepNext/>
      </w:pPr>
      <w:r>
        <w:rPr>
          <w:rFonts w:ascii="Arial" w:hAnsi="Arial"/>
        </w:rPr>
        <w:t>5.2 Permission principles</w:t>
      </w:r>
    </w:p>
    <w:p>
      <w:pPr>
        <w:pStyle w:val="ListBullet"/>
        <w:spacing w:before="0" w:after="60" w:line="259" w:lineRule="auto"/>
      </w:pPr>
      <w:r>
        <w:rPr>
          <w:rFonts w:ascii="Arial" w:hAnsi="Arial"/>
          <w:sz w:val="20"/>
        </w:rPr>
        <w:t>Permissions are enforced in backend services, not only in the user interface.</w:t>
      </w:r>
    </w:p>
    <w:p>
      <w:pPr>
        <w:pStyle w:val="ListBullet"/>
        <w:spacing w:before="0" w:after="60" w:line="259" w:lineRule="auto"/>
      </w:pPr>
      <w:r>
        <w:rPr>
          <w:rFonts w:ascii="Arial" w:hAnsi="Arial"/>
          <w:sz w:val="20"/>
        </w:rPr>
        <w:t>Knowledge authoring and knowledge approval must be separable roles.</w:t>
      </w:r>
    </w:p>
    <w:p>
      <w:pPr>
        <w:pStyle w:val="ListBullet"/>
        <w:spacing w:before="0" w:after="60" w:line="259" w:lineRule="auto"/>
      </w:pPr>
      <w:r>
        <w:rPr>
          <w:rFonts w:ascii="Arial" w:hAnsi="Arial"/>
          <w:sz w:val="20"/>
        </w:rPr>
        <w:t>Production publication and emergency rollback require explicit authority and audit evidence.</w:t>
      </w:r>
    </w:p>
    <w:p>
      <w:pPr>
        <w:pStyle w:val="ListBullet"/>
        <w:spacing w:before="0" w:after="60" w:line="259" w:lineRule="auto"/>
      </w:pPr>
      <w:r>
        <w:rPr>
          <w:rFonts w:ascii="Arial" w:hAnsi="Arial"/>
          <w:sz w:val="20"/>
        </w:rPr>
        <w:t>Sensitive calls, audio, transcripts and customer context are visible only to roles with a documented purpose.</w:t>
      </w:r>
    </w:p>
    <w:p>
      <w:pPr>
        <w:pStyle w:val="ListBullet"/>
        <w:spacing w:before="0" w:after="60" w:line="259" w:lineRule="auto"/>
      </w:pPr>
      <w:r>
        <w:rPr>
          <w:rFonts w:ascii="Arial" w:hAnsi="Arial"/>
          <w:sz w:val="20"/>
        </w:rPr>
        <w:t>Custom-voice creation and management are restricted beyond ordinary voice selection.</w:t>
      </w:r>
    </w:p>
    <w:p>
      <w:pPr>
        <w:pStyle w:val="ListBullet"/>
        <w:spacing w:before="0" w:after="60" w:line="259" w:lineRule="auto"/>
      </w:pPr>
      <w:r>
        <w:rPr>
          <w:rFonts w:ascii="Arial" w:hAnsi="Arial"/>
          <w:sz w:val="20"/>
        </w:rPr>
        <w:t>Exports, transcript corrections, deletion and legal hold are individually permissioned and audited.</w:t>
      </w:r>
    </w:p>
    <w:p>
      <w:pPr>
        <w:pStyle w:val="ListBullet"/>
        <w:spacing w:before="0" w:after="60" w:line="259" w:lineRule="auto"/>
      </w:pPr>
      <w:r>
        <w:rPr>
          <w:rFonts w:ascii="Arial" w:hAnsi="Arial"/>
          <w:sz w:val="20"/>
        </w:rPr>
        <w:t>Provider credentials are never shown to normal users and never exposed to the browser.</w:t>
      </w:r>
    </w:p>
    <w:p>
      <w:pPr>
        <w:pStyle w:val="Heading1"/>
        <w:keepNext/>
        <w:pageBreakBefore w:val="0"/>
      </w:pPr>
      <w:r>
        <w:rPr>
          <w:rFonts w:ascii="Arial" w:hAnsi="Arial"/>
        </w:rPr>
        <w:t>6  End-to-end workflows</w:t>
      </w:r>
    </w:p>
    <w:p>
      <w:pPr>
        <w:pStyle w:val="Heading2"/>
        <w:keepNext/>
      </w:pPr>
      <w:r>
        <w:rPr>
          <w:rFonts w:ascii="Arial" w:hAnsi="Arial"/>
        </w:rPr>
        <w:t>6.1 Agent configuration and publication</w:t>
      </w:r>
    </w:p>
    <w:p>
      <w:pPr>
        <w:pStyle w:val="ListNumber"/>
        <w:spacing w:before="0" w:after="60" w:line="259" w:lineRule="auto"/>
      </w:pPr>
      <w:r>
        <w:rPr>
          <w:rFonts w:ascii="Arial" w:hAnsi="Arial"/>
          <w:sz w:val="20"/>
        </w:rPr>
        <w:t>An authorized user creates or clones an agent configuration inside the Quantum Parks application.</w:t>
      </w:r>
    </w:p>
    <w:p>
      <w:pPr>
        <w:pStyle w:val="ListNumber"/>
        <w:spacing w:before="0" w:after="60" w:line="259" w:lineRule="auto"/>
      </w:pPr>
      <w:r>
        <w:rPr>
          <w:rFonts w:ascii="Arial" w:hAnsi="Arial"/>
          <w:sz w:val="20"/>
        </w:rPr>
        <w:t>The user edits the prompt, first message, disclosures, languages, voice, workflow, tools, transfer rules and provider settings.</w:t>
      </w:r>
    </w:p>
    <w:p>
      <w:pPr>
        <w:pStyle w:val="ListNumber"/>
        <w:spacing w:before="0" w:after="60" w:line="259" w:lineRule="auto"/>
      </w:pPr>
      <w:r>
        <w:rPr>
          <w:rFonts w:ascii="Arial" w:hAnsi="Arial"/>
          <w:sz w:val="20"/>
        </w:rPr>
        <w:t>The platform validates required fields, safe tool definitions, approved URLs, knowledge assignments and environment constraints.</w:t>
      </w:r>
    </w:p>
    <w:p>
      <w:pPr>
        <w:pStyle w:val="ListNumber"/>
        <w:spacing w:before="0" w:after="60" w:line="259" w:lineRule="auto"/>
      </w:pPr>
      <w:r>
        <w:rPr>
          <w:rFonts w:ascii="Arial" w:hAnsi="Arial"/>
          <w:sz w:val="20"/>
        </w:rPr>
        <w:t>The draft is submitted for review and receives the required approvals.</w:t>
      </w:r>
    </w:p>
    <w:p>
      <w:pPr>
        <w:pStyle w:val="ListNumber"/>
        <w:spacing w:before="0" w:after="60" w:line="259" w:lineRule="auto"/>
      </w:pPr>
      <w:r>
        <w:rPr>
          <w:rFonts w:ascii="Arial" w:hAnsi="Arial"/>
          <w:sz w:val="20"/>
        </w:rPr>
        <w:t>The backend converts the internal version into the supported ElevenLabs configuration and publishes it through the API.</w:t>
      </w:r>
    </w:p>
    <w:p>
      <w:pPr>
        <w:pStyle w:val="ListNumber"/>
        <w:spacing w:before="0" w:after="60" w:line="259" w:lineRule="auto"/>
      </w:pPr>
      <w:r>
        <w:rPr>
          <w:rFonts w:ascii="Arial" w:hAnsi="Arial"/>
          <w:sz w:val="20"/>
        </w:rPr>
        <w:t>The returned ElevenLabs agent, version or branch identifiers are stored against the local version.</w:t>
      </w:r>
    </w:p>
    <w:p>
      <w:pPr>
        <w:pStyle w:val="ListNumber"/>
        <w:spacing w:before="0" w:after="60" w:line="259" w:lineRule="auto"/>
      </w:pPr>
      <w:r>
        <w:rPr>
          <w:rFonts w:ascii="Arial" w:hAnsi="Arial"/>
          <w:sz w:val="20"/>
        </w:rPr>
        <w:t>The platform runs the mandatory test suite and blocks activation if release thresholds fail.</w:t>
      </w:r>
    </w:p>
    <w:p>
      <w:pPr>
        <w:pStyle w:val="ListNumber"/>
        <w:spacing w:before="0" w:after="60" w:line="259" w:lineRule="auto"/>
      </w:pPr>
      <w:r>
        <w:rPr>
          <w:rFonts w:ascii="Arial" w:hAnsi="Arial"/>
          <w:sz w:val="20"/>
        </w:rPr>
        <w:t>An authorized release user activates the version, after which monitoring and drift reconciliation begin.</w:t>
      </w:r>
    </w:p>
    <w:p>
      <w:pPr>
        <w:pStyle w:val="ListNumber"/>
        <w:spacing w:before="0" w:after="60" w:line="259" w:lineRule="auto"/>
      </w:pPr>
      <w:r>
        <w:rPr>
          <w:rFonts w:ascii="Arial" w:hAnsi="Arial"/>
          <w:sz w:val="20"/>
        </w:rPr>
        <w:t>Rollback creates an audited transition to the prior approved version and revalidates the remote state.</w:t>
      </w:r>
    </w:p>
    <w:p>
      <w:pPr>
        <w:pStyle w:val="Heading2"/>
        <w:keepNext/>
      </w:pPr>
      <w:r>
        <w:rPr>
          <w:rFonts w:ascii="Arial" w:hAnsi="Arial"/>
        </w:rPr>
        <w:t>6.2 Company knowledge lifecycle</w:t>
      </w:r>
    </w:p>
    <w:p>
      <w:pPr>
        <w:pStyle w:val="ListNumber"/>
        <w:spacing w:before="0" w:after="60" w:line="259" w:lineRule="auto"/>
      </w:pPr>
      <w:r>
        <w:rPr>
          <w:rFonts w:ascii="Arial" w:hAnsi="Arial"/>
          <w:sz w:val="20"/>
        </w:rPr>
        <w:t>A knowledge editor creates text or uploads an approved file, URL, FAQ set, SOP, policy, schedule, price list or park document in the Quantum Parks application.</w:t>
      </w:r>
    </w:p>
    <w:p>
      <w:pPr>
        <w:pStyle w:val="ListNumber"/>
        <w:spacing w:before="0" w:after="60" w:line="259" w:lineRule="auto"/>
      </w:pPr>
      <w:r>
        <w:rPr>
          <w:rFonts w:ascii="Arial" w:hAnsi="Arial"/>
          <w:sz w:val="20"/>
        </w:rPr>
        <w:t>The editor records title, owner, park, language, category, risk level, effective date, expiry date, source and review requirements.</w:t>
      </w:r>
    </w:p>
    <w:p>
      <w:pPr>
        <w:pStyle w:val="ListNumber"/>
        <w:spacing w:before="0" w:after="60" w:line="259" w:lineRule="auto"/>
      </w:pPr>
      <w:r>
        <w:rPr>
          <w:rFonts w:ascii="Arial" w:hAnsi="Arial"/>
          <w:sz w:val="20"/>
        </w:rPr>
        <w:t>The platform versions the content, validates file type and scans or sanitizes it before review.</w:t>
      </w:r>
    </w:p>
    <w:p>
      <w:pPr>
        <w:pStyle w:val="ListNumber"/>
        <w:spacing w:before="0" w:after="60" w:line="259" w:lineRule="auto"/>
      </w:pPr>
      <w:r>
        <w:rPr>
          <w:rFonts w:ascii="Arial" w:hAnsi="Arial"/>
          <w:sz w:val="20"/>
        </w:rPr>
        <w:t>Required approvers review the content; safety, insurance, legal, pricing and high-impact operational content use enhanced approval.</w:t>
      </w:r>
    </w:p>
    <w:p>
      <w:pPr>
        <w:pStyle w:val="ListNumber"/>
        <w:spacing w:before="0" w:after="60" w:line="259" w:lineRule="auto"/>
      </w:pPr>
      <w:r>
        <w:rPr>
          <w:rFonts w:ascii="Arial" w:hAnsi="Arial"/>
          <w:sz w:val="20"/>
        </w:rPr>
        <w:t>The approved version is synchronized to ElevenLabs through the knowledge-base API and attached to the target agent/version.</w:t>
      </w:r>
    </w:p>
    <w:p>
      <w:pPr>
        <w:pStyle w:val="ListNumber"/>
        <w:spacing w:before="0" w:after="60" w:line="259" w:lineRule="auto"/>
      </w:pPr>
      <w:r>
        <w:rPr>
          <w:rFonts w:ascii="Arial" w:hAnsi="Arial"/>
          <w:sz w:val="20"/>
        </w:rPr>
        <w:t>The application stores local and remote identifiers, checksum, synchronization status and last verified time.</w:t>
      </w:r>
    </w:p>
    <w:p>
      <w:pPr>
        <w:pStyle w:val="ListNumber"/>
        <w:spacing w:before="0" w:after="60" w:line="259" w:lineRule="auto"/>
      </w:pPr>
      <w:r>
        <w:rPr>
          <w:rFonts w:ascii="Arial" w:hAnsi="Arial"/>
          <w:sz w:val="20"/>
        </w:rPr>
        <w:t>Linked test questions run against the agent before the content release can be activated.</w:t>
      </w:r>
    </w:p>
    <w:p>
      <w:pPr>
        <w:pStyle w:val="ListNumber"/>
        <w:spacing w:before="0" w:after="60" w:line="259" w:lineRule="auto"/>
      </w:pPr>
      <w:r>
        <w:rPr>
          <w:rFonts w:ascii="Arial" w:hAnsi="Arial"/>
          <w:sz w:val="20"/>
        </w:rPr>
        <w:t>Updates create a new local version; withdrawal or rollback updates or removes the runtime copy without deleting the internal audit history.</w:t>
      </w:r>
    </w:p>
    <w:p>
      <w:pPr>
        <w:pStyle w:val="Heading2"/>
        <w:keepNext/>
      </w:pPr>
      <w:r>
        <w:rPr>
          <w:rFonts w:ascii="Arial" w:hAnsi="Arial"/>
        </w:rPr>
        <w:t>6.3 Voice selection and custom voice</w:t>
      </w:r>
    </w:p>
    <w:p>
      <w:pPr>
        <w:pStyle w:val="ListNumber"/>
        <w:spacing w:before="0" w:after="60" w:line="259" w:lineRule="auto"/>
      </w:pPr>
      <w:r>
        <w:rPr>
          <w:rFonts w:ascii="Arial" w:hAnsi="Arial"/>
          <w:sz w:val="20"/>
        </w:rPr>
        <w:t>The application retrieves the permitted ElevenLabs voice catalogue through the backend.</w:t>
      </w:r>
    </w:p>
    <w:p>
      <w:pPr>
        <w:pStyle w:val="ListNumber"/>
        <w:spacing w:before="0" w:after="60" w:line="259" w:lineRule="auto"/>
      </w:pPr>
      <w:r>
        <w:rPr>
          <w:rFonts w:ascii="Arial" w:hAnsi="Arial"/>
          <w:sz w:val="20"/>
        </w:rPr>
        <w:t>Users search and filter by language, accent, category, ownership, verification and other available metadata.</w:t>
      </w:r>
    </w:p>
    <w:p>
      <w:pPr>
        <w:pStyle w:val="ListNumber"/>
        <w:spacing w:before="0" w:after="60" w:line="259" w:lineRule="auto"/>
      </w:pPr>
      <w:r>
        <w:rPr>
          <w:rFonts w:ascii="Arial" w:hAnsi="Arial"/>
          <w:sz w:val="20"/>
        </w:rPr>
        <w:t>Users listen to previews, compare candidates and assign a voice to an agent or language configuration.</w:t>
      </w:r>
    </w:p>
    <w:p>
      <w:pPr>
        <w:pStyle w:val="ListNumber"/>
        <w:spacing w:before="0" w:after="60" w:line="259" w:lineRule="auto"/>
      </w:pPr>
      <w:r>
        <w:rPr>
          <w:rFonts w:ascii="Arial" w:hAnsi="Arial"/>
          <w:sz w:val="20"/>
        </w:rPr>
        <w:t>The selected voice is tested through the Agent Test Studio before production publication.</w:t>
      </w:r>
    </w:p>
    <w:p>
      <w:pPr>
        <w:pStyle w:val="ListNumber"/>
        <w:spacing w:before="0" w:after="60" w:line="259" w:lineRule="auto"/>
      </w:pPr>
      <w:r>
        <w:rPr>
          <w:rFonts w:ascii="Arial" w:hAnsi="Arial"/>
          <w:sz w:val="20"/>
        </w:rPr>
        <w:t>Custom or cloned voice workflows require special permission, documented speaker consent, provider eligibility and approval records.</w:t>
      </w:r>
    </w:p>
    <w:p>
      <w:pPr>
        <w:pStyle w:val="ListNumber"/>
        <w:spacing w:before="0" w:after="60" w:line="259" w:lineRule="auto"/>
      </w:pPr>
      <w:r>
        <w:rPr>
          <w:rFonts w:ascii="Arial" w:hAnsi="Arial"/>
          <w:sz w:val="20"/>
        </w:rPr>
        <w:t>If a selected voice becomes unavailable, the system flags configuration drift and uses only an approved fallback policy.</w:t>
      </w:r>
    </w:p>
    <w:p>
      <w:pPr>
        <w:pStyle w:val="Heading2"/>
        <w:keepNext/>
      </w:pPr>
      <w:r>
        <w:rPr>
          <w:rFonts w:ascii="Arial" w:hAnsi="Arial"/>
        </w:rPr>
        <w:t>6.4 Agent Test Studio and release assurance</w:t>
      </w:r>
    </w:p>
    <w:p>
      <w:pPr>
        <w:pStyle w:val="ListNumber"/>
        <w:spacing w:before="0" w:after="60" w:line="259" w:lineRule="auto"/>
      </w:pPr>
      <w:r>
        <w:rPr>
          <w:rFonts w:ascii="Arial" w:hAnsi="Arial"/>
          <w:sz w:val="20"/>
        </w:rPr>
        <w:t>A QA user creates a next-reply, tool-call or multi-turn simulation test in the Quantum Parks application.</w:t>
      </w:r>
    </w:p>
    <w:p>
      <w:pPr>
        <w:pStyle w:val="ListNumber"/>
        <w:spacing w:before="0" w:after="60" w:line="259" w:lineRule="auto"/>
      </w:pPr>
      <w:r>
        <w:rPr>
          <w:rFonts w:ascii="Arial" w:hAnsi="Arial"/>
          <w:sz w:val="20"/>
        </w:rPr>
        <w:t>The test defines language, scenario, expected answer or outcome, required knowledge, permitted tools, forbidden behavior and pass criteria.</w:t>
      </w:r>
    </w:p>
    <w:p>
      <w:pPr>
        <w:pStyle w:val="ListNumber"/>
        <w:spacing w:before="0" w:after="60" w:line="259" w:lineRule="auto"/>
      </w:pPr>
      <w:r>
        <w:rPr>
          <w:rFonts w:ascii="Arial" w:hAnsi="Arial"/>
          <w:sz w:val="20"/>
        </w:rPr>
        <w:t>The backend creates or updates the matching ElevenLabs test and runs it against a selected agent, branch or configuration override.</w:t>
      </w:r>
    </w:p>
    <w:p>
      <w:pPr>
        <w:pStyle w:val="ListNumber"/>
        <w:spacing w:before="0" w:after="60" w:line="259" w:lineRule="auto"/>
      </w:pPr>
      <w:r>
        <w:rPr>
          <w:rFonts w:ascii="Arial" w:hAnsi="Arial"/>
          <w:sz w:val="20"/>
        </w:rPr>
        <w:t>Quantum Parks retrieves the result, stores raw provider evidence and evaluates internal policy and factual criteria.</w:t>
      </w:r>
    </w:p>
    <w:p>
      <w:pPr>
        <w:pStyle w:val="ListNumber"/>
        <w:spacing w:before="0" w:after="60" w:line="259" w:lineRule="auto"/>
      </w:pPr>
      <w:r>
        <w:rPr>
          <w:rFonts w:ascii="Arial" w:hAnsi="Arial"/>
          <w:sz w:val="20"/>
        </w:rPr>
        <w:t>The application supports repeat runs and pass-rate comparison for probabilistic behavior.</w:t>
      </w:r>
    </w:p>
    <w:p>
      <w:pPr>
        <w:pStyle w:val="ListNumber"/>
        <w:spacing w:before="0" w:after="60" w:line="259" w:lineRule="auto"/>
      </w:pPr>
      <w:r>
        <w:rPr>
          <w:rFonts w:ascii="Arial" w:hAnsi="Arial"/>
          <w:sz w:val="20"/>
        </w:rPr>
        <w:t>Failed tests link directly to the affected agent or knowledge version and block release where configured.</w:t>
      </w:r>
    </w:p>
    <w:p>
      <w:pPr>
        <w:pStyle w:val="ListNumber"/>
        <w:spacing w:before="0" w:after="60" w:line="259" w:lineRule="auto"/>
      </w:pPr>
      <w:r>
        <w:rPr>
          <w:rFonts w:ascii="Arial" w:hAnsi="Arial"/>
          <w:sz w:val="20"/>
        </w:rPr>
        <w:t>Published versions retain the complete test evidence used for approval.</w:t>
      </w:r>
    </w:p>
    <w:p>
      <w:pPr>
        <w:pStyle w:val="Heading2"/>
        <w:keepNext/>
      </w:pPr>
      <w:r>
        <w:rPr>
          <w:rFonts w:ascii="Arial" w:hAnsi="Arial"/>
        </w:rPr>
        <w:t>6.5 Inbound call personalization and tools</w:t>
      </w:r>
    </w:p>
    <w:p>
      <w:pPr>
        <w:pStyle w:val="ListNumber"/>
        <w:spacing w:before="0" w:after="60" w:line="259" w:lineRule="auto"/>
      </w:pPr>
      <w:r>
        <w:rPr>
          <w:rFonts w:ascii="Arial" w:hAnsi="Arial"/>
          <w:sz w:val="20"/>
        </w:rPr>
        <w:t>A call reaches the ElevenLabs agent through the approved telephone routing arrangement.</w:t>
      </w:r>
    </w:p>
    <w:p>
      <w:pPr>
        <w:pStyle w:val="ListNumber"/>
        <w:spacing w:before="0" w:after="60" w:line="259" w:lineRule="auto"/>
      </w:pPr>
      <w:r>
        <w:rPr>
          <w:rFonts w:ascii="Arial" w:hAnsi="Arial"/>
          <w:sz w:val="20"/>
        </w:rPr>
        <w:t>ElevenLabs sends caller and call metadata to the Quantum Parks personalization endpoint during call initiation.</w:t>
      </w:r>
    </w:p>
    <w:p>
      <w:pPr>
        <w:pStyle w:val="ListNumber"/>
        <w:spacing w:before="0" w:after="60" w:line="259" w:lineRule="auto"/>
      </w:pPr>
      <w:r>
        <w:rPr>
          <w:rFonts w:ascii="Arial" w:hAnsi="Arial"/>
          <w:sz w:val="20"/>
        </w:rPr>
        <w:t>Quantum Parks returns only permitted dynamic variables and overrides, such as preferred language, likely park or a non-sensitive customer indicator.</w:t>
      </w:r>
    </w:p>
    <w:p>
      <w:pPr>
        <w:pStyle w:val="ListNumber"/>
        <w:spacing w:before="0" w:after="60" w:line="259" w:lineRule="auto"/>
      </w:pPr>
      <w:r>
        <w:rPr>
          <w:rFonts w:ascii="Arial" w:hAnsi="Arial"/>
          <w:sz w:val="20"/>
        </w:rPr>
        <w:t>During the conversation, the agent calls approved Quantum Parks webhook tools for authoritative business data or next steps.</w:t>
      </w:r>
    </w:p>
    <w:p>
      <w:pPr>
        <w:pStyle w:val="ListNumber"/>
        <w:spacing w:before="0" w:after="60" w:line="259" w:lineRule="auto"/>
      </w:pPr>
      <w:r>
        <w:rPr>
          <w:rFonts w:ascii="Arial" w:hAnsi="Arial"/>
          <w:sz w:val="20"/>
        </w:rPr>
        <w:t>Each tool validates authentication, purpose, verification status, feature flags and parameters before returning data or creating a permitted task.</w:t>
      </w:r>
    </w:p>
    <w:p>
      <w:pPr>
        <w:pStyle w:val="ListNumber"/>
        <w:spacing w:before="0" w:after="60" w:line="259" w:lineRule="auto"/>
      </w:pPr>
      <w:r>
        <w:rPr>
          <w:rFonts w:ascii="Arial" w:hAnsi="Arial"/>
          <w:sz w:val="20"/>
        </w:rPr>
        <w:t>Sensitive, payment-related, capacity-changing or unsupported requests use approved refusal, digital handoff or human escalation behavior.</w:t>
      </w:r>
    </w:p>
    <w:p>
      <w:pPr>
        <w:pStyle w:val="Heading2"/>
        <w:keepNext/>
      </w:pPr>
      <w:r>
        <w:rPr>
          <w:rFonts w:ascii="Arial" w:hAnsi="Arial"/>
        </w:rPr>
        <w:t>6.6 Post-call ingestion and intelligence</w:t>
      </w:r>
    </w:p>
    <w:p>
      <w:pPr>
        <w:pStyle w:val="ListNumber"/>
        <w:spacing w:before="0" w:after="60" w:line="259" w:lineRule="auto"/>
      </w:pPr>
      <w:r>
        <w:rPr>
          <w:rFonts w:ascii="Arial" w:hAnsi="Arial"/>
          <w:sz w:val="20"/>
        </w:rPr>
        <w:t>ElevenLabs sends the completed transcript and conversation metadata to a signed Quantum Parks webhook endpoint.</w:t>
      </w:r>
    </w:p>
    <w:p>
      <w:pPr>
        <w:pStyle w:val="ListNumber"/>
        <w:spacing w:before="0" w:after="60" w:line="259" w:lineRule="auto"/>
      </w:pPr>
      <w:r>
        <w:rPr>
          <w:rFonts w:ascii="Arial" w:hAnsi="Arial"/>
          <w:sz w:val="20"/>
        </w:rPr>
        <w:t>The endpoint verifies origin, timestamp and replay protection, stores the immutable raw payload and acknowledges quickly.</w:t>
      </w:r>
    </w:p>
    <w:p>
      <w:pPr>
        <w:pStyle w:val="ListNumber"/>
        <w:spacing w:before="0" w:after="60" w:line="259" w:lineRule="auto"/>
      </w:pPr>
      <w:r>
        <w:rPr>
          <w:rFonts w:ascii="Arial" w:hAnsi="Arial"/>
          <w:sz w:val="20"/>
        </w:rPr>
        <w:t>A durable workflow normalizes provider turns into the canonical transcript schema and applies redaction and data classification.</w:t>
      </w:r>
    </w:p>
    <w:p>
      <w:pPr>
        <w:pStyle w:val="ListNumber"/>
        <w:spacing w:before="0" w:after="60" w:line="259" w:lineRule="auto"/>
      </w:pPr>
      <w:r>
        <w:rPr>
          <w:rFonts w:ascii="Arial" w:hAnsi="Arial"/>
          <w:sz w:val="20"/>
        </w:rPr>
        <w:t>Quantum Parks generates a factual internal summary, intent, topics, entities, language, park, outcome, unresolved items and follow-up requirements.</w:t>
      </w:r>
    </w:p>
    <w:p>
      <w:pPr>
        <w:pStyle w:val="ListNumber"/>
        <w:spacing w:before="0" w:after="60" w:line="259" w:lineRule="auto"/>
      </w:pPr>
      <w:r>
        <w:rPr>
          <w:rFonts w:ascii="Arial" w:hAnsi="Arial"/>
          <w:sz w:val="20"/>
        </w:rPr>
        <w:t>The system links the conversation to known customer, booking and support records where permitted and sufficiently reliable.</w:t>
      </w:r>
    </w:p>
    <w:p>
      <w:pPr>
        <w:pStyle w:val="ListNumber"/>
        <w:spacing w:before="0" w:after="60" w:line="259" w:lineRule="auto"/>
      </w:pPr>
      <w:r>
        <w:rPr>
          <w:rFonts w:ascii="Arial" w:hAnsi="Arial"/>
          <w:sz w:val="20"/>
        </w:rPr>
        <w:t>The call is added to the customer communication timeline and any tasks, callbacks or post-call messages are created.</w:t>
      </w:r>
    </w:p>
    <w:p>
      <w:pPr>
        <w:pStyle w:val="ListNumber"/>
        <w:spacing w:before="0" w:after="60" w:line="259" w:lineRule="auto"/>
      </w:pPr>
      <w:r>
        <w:rPr>
          <w:rFonts w:ascii="Arial" w:hAnsi="Arial"/>
          <w:sz w:val="20"/>
        </w:rPr>
        <w:t>Aggregate facts update dashboards, trend detection, knowledge-gap analysis and scheduled reports.</w:t>
      </w:r>
    </w:p>
    <w:p>
      <w:pPr>
        <w:pStyle w:val="ListNumber"/>
        <w:spacing w:before="0" w:after="60" w:line="259" w:lineRule="auto"/>
      </w:pPr>
      <w:r>
        <w:rPr>
          <w:rFonts w:ascii="Arial" w:hAnsi="Arial"/>
          <w:sz w:val="20"/>
        </w:rPr>
        <w:t>Failures are retryable and visible; reconciliation can import or replay missing conversations from the provider API where supported.</w:t>
      </w:r>
    </w:p>
    <w:p>
      <w:pPr>
        <w:spacing w:after="80"/>
        <w:jc w:val="center"/>
      </w:pPr>
      <w:r>
        <w:drawing>
          <wp:inline xmlns:a="http://schemas.openxmlformats.org/drawingml/2006/main" xmlns:pic="http://schemas.openxmlformats.org/drawingml/2006/picture">
            <wp:extent cx="6172200" cy="409824"/>
            <wp:docPr id="4" name="Picture 4" descr="Post-call pipeline from ElevenLabs webhook through canonical transcript, intelligence, history and reporting." title="Post-call pipeline from ElevenLabs webhook through canonical transcript, intelligence, history and reporting."/>
            <wp:cNvGraphicFramePr>
              <a:graphicFrameLocks noChangeAspect="1"/>
            </wp:cNvGraphicFramePr>
            <a:graphic>
              <a:graphicData uri="http://schemas.openxmlformats.org/drawingml/2006/picture">
                <pic:pic>
                  <pic:nvPicPr>
                    <pic:cNvPr id="0" name="post_call_pipeline.png"/>
                    <pic:cNvPicPr/>
                  </pic:nvPicPr>
                  <pic:blipFill>
                    <a:blip r:embed="rId15"/>
                    <a:stretch>
                      <a:fillRect/>
                    </a:stretch>
                  </pic:blipFill>
                  <pic:spPr>
                    <a:xfrm>
                      <a:off x="0" y="0"/>
                      <a:ext cx="6172200" cy="409824"/>
                    </a:xfrm>
                    <a:prstGeom prst="rect"/>
                  </pic:spPr>
                </pic:pic>
              </a:graphicData>
            </a:graphic>
          </wp:inline>
        </w:drawing>
      </w:r>
    </w:p>
    <w:p>
      <w:pPr>
        <w:pStyle w:val="PRDCaption"/>
        <w:spacing w:after="160"/>
        <w:jc w:val="center"/>
      </w:pPr>
      <w:r>
        <w:rPr>
          <w:rFonts w:ascii="Arial" w:hAnsi="Arial"/>
          <w:i/>
          <w:color w:val="5E6C7B"/>
          <w:sz w:val="17"/>
        </w:rPr>
        <w:t>Figure 4. Post-call transcript ingestion and intelligence pipeline.</w:t>
      </w:r>
    </w:p>
    <w:p>
      <w:pPr>
        <w:pStyle w:val="Heading2"/>
        <w:keepNext/>
      </w:pPr>
      <w:r>
        <w:rPr>
          <w:rFonts w:ascii="Arial" w:hAnsi="Arial"/>
        </w:rPr>
        <w:t>6.7 Drift and reconciliation</w:t>
      </w:r>
    </w:p>
    <w:p>
      <w:pPr>
        <w:spacing w:before="0" w:after="120" w:line="259" w:lineRule="auto"/>
      </w:pPr>
      <w:r>
        <w:rPr>
          <w:rFonts w:ascii="Arial" w:hAnsi="Arial"/>
          <w:i w:val="0"/>
        </w:rPr>
        <w:t>A scheduled reconciliation process compares local approved objects with their ElevenLabs runtime counterparts. It detects missing agents, unexpected remote changes, incorrect knowledge assignments, unavailable voices, unregistered tests, webhook failures, version mismatches and stale synchronization. Drift creates an operational issue and may block production readiness. The application never silently overwrites the master record from the provider.</w:t>
      </w:r>
    </w:p>
    <w:p>
      <w:pPr>
        <w:pStyle w:val="Heading1"/>
        <w:keepNext/>
        <w:pageBreakBefore w:val="0"/>
      </w:pPr>
      <w:r>
        <w:rPr>
          <w:rFonts w:ascii="Arial" w:hAnsi="Arial"/>
        </w:rPr>
        <w:t>7  Functional requirements</w:t>
      </w:r>
    </w:p>
    <w:p>
      <w:pPr>
        <w:spacing w:before="0" w:after="120" w:line="259" w:lineRule="auto"/>
      </w:pPr>
      <w:r>
        <w:rPr>
          <w:rFonts w:ascii="Arial" w:hAnsi="Arial"/>
          <w:i w:val="0"/>
        </w:rPr>
        <w:t>All requirements are production requirements. “Activation-gated” means the capability must be implemented with controls but cannot be enabled in production until the listed provider, legal, privacy or operational approvals are complete.</w:t>
      </w:r>
    </w:p>
    <w:p>
      <w:pPr>
        <w:pStyle w:val="Heading2"/>
        <w:keepNext/>
      </w:pPr>
      <w:r>
        <w:rPr>
          <w:rFonts w:ascii="Arial" w:hAnsi="Arial"/>
        </w:rPr>
        <w:t>7.1 ElevenLabs connection and agent control</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864"/>
        <w:gridCol w:w="3384"/>
        <w:gridCol w:w="4896"/>
        <w:gridCol w:w="936"/>
      </w:tblGrid>
      <w:tr>
        <w:trPr>
          <w:tblHeader w:val="true"/>
        </w:trPr>
        <w:tc>
          <w:tcPr>
            <w:tcW w:type="dxa" w:w="864"/>
            <w:shd w:fill="178C83"/>
            <w:tcMar>
              <w:top w:w="100" w:type="dxa"/>
              <w:start w:w="100" w:type="dxa"/>
              <w:bottom w:w="100" w:type="dxa"/>
              <w:end w:w="100" w:type="dxa"/>
            </w:tcMar>
            <w:vAlign w:val="center"/>
          </w:tcPr>
          <w:p>
            <w:pPr>
              <w:spacing w:after="0"/>
              <w:jc w:val="center"/>
            </w:pPr>
            <w:r>
              <w:rPr>
                <w:rFonts w:ascii="Arial" w:hAnsi="Arial"/>
                <w:b/>
                <w:color w:val="FFFFFF"/>
                <w:sz w:val="18"/>
              </w:rPr>
              <w:t>ID</w:t>
            </w:r>
          </w:p>
        </w:tc>
        <w:tc>
          <w:tcPr>
            <w:tcW w:type="dxa" w:w="3384"/>
            <w:shd w:fill="178C83"/>
            <w:tcMar>
              <w:top w:w="100" w:type="dxa"/>
              <w:start w:w="100" w:type="dxa"/>
              <w:bottom w:w="100" w:type="dxa"/>
              <w:end w:w="100" w:type="dxa"/>
            </w:tcMar>
            <w:vAlign w:val="center"/>
          </w:tcPr>
          <w:p>
            <w:pPr>
              <w:spacing w:after="0"/>
              <w:jc w:val="center"/>
            </w:pPr>
            <w:r>
              <w:rPr>
                <w:rFonts w:ascii="Arial" w:hAnsi="Arial"/>
                <w:b/>
                <w:color w:val="FFFFFF"/>
                <w:sz w:val="18"/>
              </w:rPr>
              <w:t>Requirement</w:t>
            </w:r>
          </w:p>
        </w:tc>
        <w:tc>
          <w:tcPr>
            <w:tcW w:type="dxa" w:w="4896"/>
            <w:shd w:fill="178C83"/>
            <w:tcMar>
              <w:top w:w="100" w:type="dxa"/>
              <w:start w:w="100" w:type="dxa"/>
              <w:bottom w:w="100" w:type="dxa"/>
              <w:end w:w="100" w:type="dxa"/>
            </w:tcMar>
            <w:vAlign w:val="center"/>
          </w:tcPr>
          <w:p>
            <w:pPr>
              <w:spacing w:after="0"/>
              <w:jc w:val="center"/>
            </w:pPr>
            <w:r>
              <w:rPr>
                <w:rFonts w:ascii="Arial" w:hAnsi="Arial"/>
                <w:b/>
                <w:color w:val="FFFFFF"/>
                <w:sz w:val="18"/>
              </w:rPr>
              <w:t>Acceptance evidence</w:t>
            </w:r>
          </w:p>
        </w:tc>
        <w:tc>
          <w:tcPr>
            <w:tcW w:type="dxa" w:w="936"/>
            <w:shd w:fill="178C83"/>
            <w:tcMar>
              <w:top w:w="100" w:type="dxa"/>
              <w:start w:w="100" w:type="dxa"/>
              <w:bottom w:w="100" w:type="dxa"/>
              <w:end w:w="100" w:type="dxa"/>
            </w:tcMar>
            <w:vAlign w:val="center"/>
          </w:tcPr>
          <w:p>
            <w:pPr>
              <w:spacing w:after="0"/>
              <w:jc w:val="center"/>
            </w:pPr>
            <w:r>
              <w:rPr>
                <w:rFonts w:ascii="Arial" w:hAnsi="Arial"/>
                <w:b/>
                <w:color w:val="FFFFFF"/>
                <w:sz w:val="18"/>
              </w:rPr>
              <w:t>Class</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FR-01</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Connect an ElevenLabs workspace using backend-held service credentials.</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Connection test returns workspace identity, permitted scopes and a stored verification timestamp.</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FR-02</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Protect ElevenLabs credentials with a secret manager and least-privilege scopes.</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No permanent provider credential is returned to the browser, logs or exports.</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FR-03</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Represent local and remote identities for agents, versions, branches, knowledge, voices, tests, webhooks and conversations.</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Every synchronized object stores provider ID, local ID, environment and sync state.</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FR-04</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Create, read, update, clone and archive managed agent configurations from the Quantum Parks application.</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Authorized users can complete the lifecycle without using the vendor console.</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FR-05</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Support draft, staging, approved, active, superseded and rolled-back agent versions.</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Only approved versions may be activated; transitions are audited.</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FR-06</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Publish and roll back agent versions through supported ElevenLabs APIs.</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The remote result is verified before local state becomes active.</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FR-07</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Run scheduled and on-demand reconciliation against ElevenLabs.</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Drift is detected, classified, displayed and assigned for resolution.</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FR-08</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Display provider health, rate-limit, usage, quota and API-error information available to the integration.</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Operations users can identify provider or credential failures from the Quantum Parks app.</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bl>
    <w:p>
      <w:pPr>
        <w:spacing w:after="40"/>
      </w:pPr>
    </w:p>
    <w:p>
      <w:pPr>
        <w:pStyle w:val="Heading2"/>
        <w:keepNext/>
      </w:pPr>
      <w:r>
        <w:rPr>
          <w:rFonts w:ascii="Arial" w:hAnsi="Arial"/>
        </w:rPr>
        <w:t>7.2 Agent configuration</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864"/>
        <w:gridCol w:w="3384"/>
        <w:gridCol w:w="4896"/>
        <w:gridCol w:w="936"/>
      </w:tblGrid>
      <w:tr>
        <w:trPr>
          <w:tblHeader w:val="true"/>
        </w:trPr>
        <w:tc>
          <w:tcPr>
            <w:tcW w:type="dxa" w:w="864"/>
            <w:shd w:fill="178C83"/>
            <w:tcMar>
              <w:top w:w="100" w:type="dxa"/>
              <w:start w:w="100" w:type="dxa"/>
              <w:bottom w:w="100" w:type="dxa"/>
              <w:end w:w="100" w:type="dxa"/>
            </w:tcMar>
            <w:vAlign w:val="center"/>
          </w:tcPr>
          <w:p>
            <w:pPr>
              <w:spacing w:after="0"/>
              <w:jc w:val="center"/>
            </w:pPr>
            <w:r>
              <w:rPr>
                <w:rFonts w:ascii="Arial" w:hAnsi="Arial"/>
                <w:b/>
                <w:color w:val="FFFFFF"/>
                <w:sz w:val="18"/>
              </w:rPr>
              <w:t>ID</w:t>
            </w:r>
          </w:p>
        </w:tc>
        <w:tc>
          <w:tcPr>
            <w:tcW w:type="dxa" w:w="3384"/>
            <w:shd w:fill="178C83"/>
            <w:tcMar>
              <w:top w:w="100" w:type="dxa"/>
              <w:start w:w="100" w:type="dxa"/>
              <w:bottom w:w="100" w:type="dxa"/>
              <w:end w:w="100" w:type="dxa"/>
            </w:tcMar>
            <w:vAlign w:val="center"/>
          </w:tcPr>
          <w:p>
            <w:pPr>
              <w:spacing w:after="0"/>
              <w:jc w:val="center"/>
            </w:pPr>
            <w:r>
              <w:rPr>
                <w:rFonts w:ascii="Arial" w:hAnsi="Arial"/>
                <w:b/>
                <w:color w:val="FFFFFF"/>
                <w:sz w:val="18"/>
              </w:rPr>
              <w:t>Requirement</w:t>
            </w:r>
          </w:p>
        </w:tc>
        <w:tc>
          <w:tcPr>
            <w:tcW w:type="dxa" w:w="4896"/>
            <w:shd w:fill="178C83"/>
            <w:tcMar>
              <w:top w:w="100" w:type="dxa"/>
              <w:start w:w="100" w:type="dxa"/>
              <w:bottom w:w="100" w:type="dxa"/>
              <w:end w:w="100" w:type="dxa"/>
            </w:tcMar>
            <w:vAlign w:val="center"/>
          </w:tcPr>
          <w:p>
            <w:pPr>
              <w:spacing w:after="0"/>
              <w:jc w:val="center"/>
            </w:pPr>
            <w:r>
              <w:rPr>
                <w:rFonts w:ascii="Arial" w:hAnsi="Arial"/>
                <w:b/>
                <w:color w:val="FFFFFF"/>
                <w:sz w:val="18"/>
              </w:rPr>
              <w:t>Acceptance evidence</w:t>
            </w:r>
          </w:p>
        </w:tc>
        <w:tc>
          <w:tcPr>
            <w:tcW w:type="dxa" w:w="936"/>
            <w:shd w:fill="178C83"/>
            <w:tcMar>
              <w:top w:w="100" w:type="dxa"/>
              <w:start w:w="100" w:type="dxa"/>
              <w:bottom w:w="100" w:type="dxa"/>
              <w:end w:w="100" w:type="dxa"/>
            </w:tcMar>
            <w:vAlign w:val="center"/>
          </w:tcPr>
          <w:p>
            <w:pPr>
              <w:spacing w:after="0"/>
              <w:jc w:val="center"/>
            </w:pPr>
            <w:r>
              <w:rPr>
                <w:rFonts w:ascii="Arial" w:hAnsi="Arial"/>
                <w:b/>
                <w:color w:val="FFFFFF"/>
                <w:sz w:val="18"/>
              </w:rPr>
              <w:t>Class</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FR-09</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Manage the agent system prompt and versioned policy fragments.</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Draft, diff, approval and rollback are available; immutable safety fragments cannot be edited by ordinary users.</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FR-10</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Manage first messages, automation disclosures, after-hours messages and closure wording by language.</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Only approved language variants can be published.</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FR-11</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Configure supported languages, default language and language-specific voices.</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A production language cannot be activated without required knowledge and QA approval.</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FR-12</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Configure supported model, turn-taking, interruption, timeout and conversation-flow settings exposed by ElevenLabs.</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Unsupported settings are rejected rather than silently ignored.</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FR-13</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Create and manage typed webhook tools used by the ElevenLabs agent.</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Each tool has an allowlisted URL, method, schema, authentication method, purpose and owner.</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FR-14</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Configure human transfer routes, queues, operating hours and fallback behavior.</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A test verifies each active route and callback fallback before release.</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FR-15</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Configure dynamic variables and inbound-call personalization mappings.</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Only approved non-sensitive variables are returned before verification.</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FR-16</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Require review and approval for production agent changes.</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The change record includes author, approver, reason, diff, tests and activation evidence.</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bl>
    <w:p>
      <w:pPr>
        <w:spacing w:after="40"/>
      </w:pPr>
    </w:p>
    <w:p>
      <w:pPr>
        <w:pStyle w:val="Heading2"/>
        <w:keepNext/>
      </w:pPr>
      <w:r>
        <w:rPr>
          <w:rFonts w:ascii="Arial" w:hAnsi="Arial"/>
        </w:rPr>
        <w:t>7.3 Company knowledge management</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864"/>
        <w:gridCol w:w="3384"/>
        <w:gridCol w:w="4896"/>
        <w:gridCol w:w="936"/>
      </w:tblGrid>
      <w:tr>
        <w:trPr>
          <w:tblHeader w:val="true"/>
        </w:trPr>
        <w:tc>
          <w:tcPr>
            <w:tcW w:type="dxa" w:w="864"/>
            <w:shd w:fill="178C83"/>
            <w:tcMar>
              <w:top w:w="100" w:type="dxa"/>
              <w:start w:w="100" w:type="dxa"/>
              <w:bottom w:w="100" w:type="dxa"/>
              <w:end w:w="100" w:type="dxa"/>
            </w:tcMar>
            <w:vAlign w:val="center"/>
          </w:tcPr>
          <w:p>
            <w:pPr>
              <w:spacing w:after="0"/>
              <w:jc w:val="center"/>
            </w:pPr>
            <w:r>
              <w:rPr>
                <w:rFonts w:ascii="Arial" w:hAnsi="Arial"/>
                <w:b/>
                <w:color w:val="FFFFFF"/>
                <w:sz w:val="18"/>
              </w:rPr>
              <w:t>ID</w:t>
            </w:r>
          </w:p>
        </w:tc>
        <w:tc>
          <w:tcPr>
            <w:tcW w:type="dxa" w:w="3384"/>
            <w:shd w:fill="178C83"/>
            <w:tcMar>
              <w:top w:w="100" w:type="dxa"/>
              <w:start w:w="100" w:type="dxa"/>
              <w:bottom w:w="100" w:type="dxa"/>
              <w:end w:w="100" w:type="dxa"/>
            </w:tcMar>
            <w:vAlign w:val="center"/>
          </w:tcPr>
          <w:p>
            <w:pPr>
              <w:spacing w:after="0"/>
              <w:jc w:val="center"/>
            </w:pPr>
            <w:r>
              <w:rPr>
                <w:rFonts w:ascii="Arial" w:hAnsi="Arial"/>
                <w:b/>
                <w:color w:val="FFFFFF"/>
                <w:sz w:val="18"/>
              </w:rPr>
              <w:t>Requirement</w:t>
            </w:r>
          </w:p>
        </w:tc>
        <w:tc>
          <w:tcPr>
            <w:tcW w:type="dxa" w:w="4896"/>
            <w:shd w:fill="178C83"/>
            <w:tcMar>
              <w:top w:w="100" w:type="dxa"/>
              <w:start w:w="100" w:type="dxa"/>
              <w:bottom w:w="100" w:type="dxa"/>
              <w:end w:w="100" w:type="dxa"/>
            </w:tcMar>
            <w:vAlign w:val="center"/>
          </w:tcPr>
          <w:p>
            <w:pPr>
              <w:spacing w:after="0"/>
              <w:jc w:val="center"/>
            </w:pPr>
            <w:r>
              <w:rPr>
                <w:rFonts w:ascii="Arial" w:hAnsi="Arial"/>
                <w:b/>
                <w:color w:val="FFFFFF"/>
                <w:sz w:val="18"/>
              </w:rPr>
              <w:t>Acceptance evidence</w:t>
            </w:r>
          </w:p>
        </w:tc>
        <w:tc>
          <w:tcPr>
            <w:tcW w:type="dxa" w:w="936"/>
            <w:shd w:fill="178C83"/>
            <w:tcMar>
              <w:top w:w="100" w:type="dxa"/>
              <w:start w:w="100" w:type="dxa"/>
              <w:bottom w:w="100" w:type="dxa"/>
              <w:end w:w="100" w:type="dxa"/>
            </w:tcMar>
            <w:vAlign w:val="center"/>
          </w:tcPr>
          <w:p>
            <w:pPr>
              <w:spacing w:after="0"/>
              <w:jc w:val="center"/>
            </w:pPr>
            <w:r>
              <w:rPr>
                <w:rFonts w:ascii="Arial" w:hAnsi="Arial"/>
                <w:b/>
                <w:color w:val="FFFFFF"/>
                <w:sz w:val="18"/>
              </w:rPr>
              <w:t>Class</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FR-17</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Create knowledge assets from text authored in the app.</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The content is versioned, owned and reviewable before synchronization.</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FR-18</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Upload supported documents and register approved URLs as knowledge sources.</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File type, size, malware/sanitization and source checks are enforced.</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FR-19</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Store knowledge metadata including category, park, language, owner, risk, effective date and expiry.</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Retrieval and assignment can be filtered by the metadata.</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FR-20</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Maintain immutable knowledge versions and human-readable diffs.</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An editor cannot overwrite the published historical version.</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FR-21</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Support draft, review, approved, published, superseded, withdrawn and archived states.</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State transitions follow permission and approval rules.</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FR-22</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Require enhanced approval for safety, insurance, legal, pricing and other high-risk content.</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Configured categories require two-person approval before publication.</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FR-23</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Create or update the approved runtime copy in ElevenLabs through the knowledge-base API.</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The provider response and checksum are stored; failed sync never marks content published.</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FR-24</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Assign approved knowledge to the correct agent, language, park or version.</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The effective agent configuration references only approved and synchronized assets.</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FR-25</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Withdraw or roll back knowledge from the app.</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Runtime assignment is updated while local history and audit evidence remain intact.</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FR-26</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Show per-document synchronization status, last attempt, last success and provider error.</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Operators can retry safely without creating duplicates.</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FR-27</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Detect stale, expired, conflicting or orphaned knowledge.</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Warnings appear before publication and in readiness checks.</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FR-28</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Link regression questions and expected answers to knowledge versions.</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Publishing a required content change triggers its linked tests.</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FR-29</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Treat Quantum Parks as the authoritative knowledge source and provider edits as drift.</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Remote changes never silently overwrite the approved local version.</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bl>
    <w:p>
      <w:pPr>
        <w:spacing w:after="40"/>
      </w:pPr>
    </w:p>
    <w:p>
      <w:pPr>
        <w:pStyle w:val="Heading2"/>
        <w:keepNext/>
      </w:pPr>
      <w:r>
        <w:rPr>
          <w:rFonts w:ascii="Arial" w:hAnsi="Arial"/>
        </w:rPr>
        <w:t>7.4 Voice management</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864"/>
        <w:gridCol w:w="3384"/>
        <w:gridCol w:w="4896"/>
        <w:gridCol w:w="936"/>
      </w:tblGrid>
      <w:tr>
        <w:trPr>
          <w:tblHeader w:val="true"/>
        </w:trPr>
        <w:tc>
          <w:tcPr>
            <w:tcW w:type="dxa" w:w="864"/>
            <w:shd w:fill="178C83"/>
            <w:tcMar>
              <w:top w:w="100" w:type="dxa"/>
              <w:start w:w="100" w:type="dxa"/>
              <w:bottom w:w="100" w:type="dxa"/>
              <w:end w:w="100" w:type="dxa"/>
            </w:tcMar>
            <w:vAlign w:val="center"/>
          </w:tcPr>
          <w:p>
            <w:pPr>
              <w:spacing w:after="0"/>
              <w:jc w:val="center"/>
            </w:pPr>
            <w:r>
              <w:rPr>
                <w:rFonts w:ascii="Arial" w:hAnsi="Arial"/>
                <w:b/>
                <w:color w:val="FFFFFF"/>
                <w:sz w:val="18"/>
              </w:rPr>
              <w:t>ID</w:t>
            </w:r>
          </w:p>
        </w:tc>
        <w:tc>
          <w:tcPr>
            <w:tcW w:type="dxa" w:w="3384"/>
            <w:shd w:fill="178C83"/>
            <w:tcMar>
              <w:top w:w="100" w:type="dxa"/>
              <w:start w:w="100" w:type="dxa"/>
              <w:bottom w:w="100" w:type="dxa"/>
              <w:end w:w="100" w:type="dxa"/>
            </w:tcMar>
            <w:vAlign w:val="center"/>
          </w:tcPr>
          <w:p>
            <w:pPr>
              <w:spacing w:after="0"/>
              <w:jc w:val="center"/>
            </w:pPr>
            <w:r>
              <w:rPr>
                <w:rFonts w:ascii="Arial" w:hAnsi="Arial"/>
                <w:b/>
                <w:color w:val="FFFFFF"/>
                <w:sz w:val="18"/>
              </w:rPr>
              <w:t>Requirement</w:t>
            </w:r>
          </w:p>
        </w:tc>
        <w:tc>
          <w:tcPr>
            <w:tcW w:type="dxa" w:w="4896"/>
            <w:shd w:fill="178C83"/>
            <w:tcMar>
              <w:top w:w="100" w:type="dxa"/>
              <w:start w:w="100" w:type="dxa"/>
              <w:bottom w:w="100" w:type="dxa"/>
              <w:end w:w="100" w:type="dxa"/>
            </w:tcMar>
            <w:vAlign w:val="center"/>
          </w:tcPr>
          <w:p>
            <w:pPr>
              <w:spacing w:after="0"/>
              <w:jc w:val="center"/>
            </w:pPr>
            <w:r>
              <w:rPr>
                <w:rFonts w:ascii="Arial" w:hAnsi="Arial"/>
                <w:b/>
                <w:color w:val="FFFFFF"/>
                <w:sz w:val="18"/>
              </w:rPr>
              <w:t>Acceptance evidence</w:t>
            </w:r>
          </w:p>
        </w:tc>
        <w:tc>
          <w:tcPr>
            <w:tcW w:type="dxa" w:w="936"/>
            <w:shd w:fill="178C83"/>
            <w:tcMar>
              <w:top w:w="100" w:type="dxa"/>
              <w:start w:w="100" w:type="dxa"/>
              <w:bottom w:w="100" w:type="dxa"/>
              <w:end w:w="100" w:type="dxa"/>
            </w:tcMar>
            <w:vAlign w:val="center"/>
          </w:tcPr>
          <w:p>
            <w:pPr>
              <w:spacing w:after="0"/>
              <w:jc w:val="center"/>
            </w:pPr>
            <w:r>
              <w:rPr>
                <w:rFonts w:ascii="Arial" w:hAnsi="Arial"/>
                <w:b/>
                <w:color w:val="FFFFFF"/>
                <w:sz w:val="18"/>
              </w:rPr>
              <w:t>Class</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FR-30</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Retrieve and search the permitted ElevenLabs voice catalogue.</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Pagination, search and available metadata are presented in the app.</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FR-31</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Play provider voice previews and compare candidate voices.</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Preview access is proxied securely without exposing provider credentials.</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FR-32</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Assign approved voices by agent, language and environment.</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An active language always resolves to an approved available voice or explicit fallback.</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FR-33</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Configure supported voice settings exposed by the provider.</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Values are validated against current provider capabilities.</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FR-34</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Support a governed custom or cloned voice workflow.</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Speaker consent, permission, source files, approval and provider status are retained.</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Activation-gated</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FR-35</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Detect unavailable, deleted or permission-changed voices.</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The affected agent is flagged and cannot be promoted without an approved fallback.</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bl>
    <w:p>
      <w:pPr>
        <w:spacing w:after="40"/>
      </w:pPr>
    </w:p>
    <w:p>
      <w:pPr>
        <w:pStyle w:val="Heading2"/>
        <w:keepNext/>
      </w:pPr>
      <w:r>
        <w:rPr>
          <w:rFonts w:ascii="Arial" w:hAnsi="Arial"/>
        </w:rPr>
        <w:t>7.5 Agent Test Studio</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864"/>
        <w:gridCol w:w="3384"/>
        <w:gridCol w:w="4896"/>
        <w:gridCol w:w="936"/>
      </w:tblGrid>
      <w:tr>
        <w:trPr>
          <w:tblHeader w:val="true"/>
        </w:trPr>
        <w:tc>
          <w:tcPr>
            <w:tcW w:type="dxa" w:w="864"/>
            <w:shd w:fill="178C83"/>
            <w:tcMar>
              <w:top w:w="100" w:type="dxa"/>
              <w:start w:w="100" w:type="dxa"/>
              <w:bottom w:w="100" w:type="dxa"/>
              <w:end w:w="100" w:type="dxa"/>
            </w:tcMar>
            <w:vAlign w:val="center"/>
          </w:tcPr>
          <w:p>
            <w:pPr>
              <w:spacing w:after="0"/>
              <w:jc w:val="center"/>
            </w:pPr>
            <w:r>
              <w:rPr>
                <w:rFonts w:ascii="Arial" w:hAnsi="Arial"/>
                <w:b/>
                <w:color w:val="FFFFFF"/>
                <w:sz w:val="18"/>
              </w:rPr>
              <w:t>ID</w:t>
            </w:r>
          </w:p>
        </w:tc>
        <w:tc>
          <w:tcPr>
            <w:tcW w:type="dxa" w:w="3384"/>
            <w:shd w:fill="178C83"/>
            <w:tcMar>
              <w:top w:w="100" w:type="dxa"/>
              <w:start w:w="100" w:type="dxa"/>
              <w:bottom w:w="100" w:type="dxa"/>
              <w:end w:w="100" w:type="dxa"/>
            </w:tcMar>
            <w:vAlign w:val="center"/>
          </w:tcPr>
          <w:p>
            <w:pPr>
              <w:spacing w:after="0"/>
              <w:jc w:val="center"/>
            </w:pPr>
            <w:r>
              <w:rPr>
                <w:rFonts w:ascii="Arial" w:hAnsi="Arial"/>
                <w:b/>
                <w:color w:val="FFFFFF"/>
                <w:sz w:val="18"/>
              </w:rPr>
              <w:t>Requirement</w:t>
            </w:r>
          </w:p>
        </w:tc>
        <w:tc>
          <w:tcPr>
            <w:tcW w:type="dxa" w:w="4896"/>
            <w:shd w:fill="178C83"/>
            <w:tcMar>
              <w:top w:w="100" w:type="dxa"/>
              <w:start w:w="100" w:type="dxa"/>
              <w:bottom w:w="100" w:type="dxa"/>
              <w:end w:w="100" w:type="dxa"/>
            </w:tcMar>
            <w:vAlign w:val="center"/>
          </w:tcPr>
          <w:p>
            <w:pPr>
              <w:spacing w:after="0"/>
              <w:jc w:val="center"/>
            </w:pPr>
            <w:r>
              <w:rPr>
                <w:rFonts w:ascii="Arial" w:hAnsi="Arial"/>
                <w:b/>
                <w:color w:val="FFFFFF"/>
                <w:sz w:val="18"/>
              </w:rPr>
              <w:t>Acceptance evidence</w:t>
            </w:r>
          </w:p>
        </w:tc>
        <w:tc>
          <w:tcPr>
            <w:tcW w:type="dxa" w:w="936"/>
            <w:shd w:fill="178C83"/>
            <w:tcMar>
              <w:top w:w="100" w:type="dxa"/>
              <w:start w:w="100" w:type="dxa"/>
              <w:bottom w:w="100" w:type="dxa"/>
              <w:end w:w="100" w:type="dxa"/>
            </w:tcMar>
            <w:vAlign w:val="center"/>
          </w:tcPr>
          <w:p>
            <w:pPr>
              <w:spacing w:after="0"/>
              <w:jc w:val="center"/>
            </w:pPr>
            <w:r>
              <w:rPr>
                <w:rFonts w:ascii="Arial" w:hAnsi="Arial"/>
                <w:b/>
                <w:color w:val="FFFFFF"/>
                <w:sz w:val="18"/>
              </w:rPr>
              <w:t>Class</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FR-36</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Create next-reply, tool-call and multi-turn simulation tests from the Quantum Parks application.</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Tests are stored locally with provider mappings and ownership.</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FR-37</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Define expected facts, tone, sources, tool calls, parameters, transfer behavior and prohibited behavior.</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Pass criteria are machine-readable and reviewable.</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FR-38</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Run selected or full test suites against an agent, branch or configuration override.</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The test invocation and provider run IDs are stored.</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FR-39</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Support repeated probabilistic runs and pass-rate reporting.</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Users can compare reliability across versions and repeated executions.</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FR-40</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Evaluate provider results against Quantum Parks policy and factual criteria.</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A provider test pass cannot override an internal safety or business-rule failure.</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FR-41</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Compare test results between agent or knowledge versions.</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The UI highlights regressions, improvements and changed failure groups.</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FR-42</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Block production publication when required tests or thresholds fail.</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The release gate is server-enforced and cannot be bypassed from the UI.</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FR-43</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Retain test evidence with the released version.</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A reviewer can reproduce which tests supported the approval.</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bl>
    <w:p>
      <w:pPr>
        <w:spacing w:after="40"/>
      </w:pPr>
    </w:p>
    <w:p>
      <w:pPr>
        <w:pStyle w:val="Heading2"/>
        <w:keepNext/>
      </w:pPr>
      <w:r>
        <w:rPr>
          <w:rFonts w:ascii="Arial" w:hAnsi="Arial"/>
        </w:rPr>
        <w:t>7.6 Live-call personalization and tools</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864"/>
        <w:gridCol w:w="3384"/>
        <w:gridCol w:w="4896"/>
        <w:gridCol w:w="936"/>
      </w:tblGrid>
      <w:tr>
        <w:trPr>
          <w:tblHeader w:val="true"/>
        </w:trPr>
        <w:tc>
          <w:tcPr>
            <w:tcW w:type="dxa" w:w="864"/>
            <w:shd w:fill="178C83"/>
            <w:tcMar>
              <w:top w:w="100" w:type="dxa"/>
              <w:start w:w="100" w:type="dxa"/>
              <w:bottom w:w="100" w:type="dxa"/>
              <w:end w:w="100" w:type="dxa"/>
            </w:tcMar>
            <w:vAlign w:val="center"/>
          </w:tcPr>
          <w:p>
            <w:pPr>
              <w:spacing w:after="0"/>
              <w:jc w:val="center"/>
            </w:pPr>
            <w:r>
              <w:rPr>
                <w:rFonts w:ascii="Arial" w:hAnsi="Arial"/>
                <w:b/>
                <w:color w:val="FFFFFF"/>
                <w:sz w:val="18"/>
              </w:rPr>
              <w:t>ID</w:t>
            </w:r>
          </w:p>
        </w:tc>
        <w:tc>
          <w:tcPr>
            <w:tcW w:type="dxa" w:w="3384"/>
            <w:shd w:fill="178C83"/>
            <w:tcMar>
              <w:top w:w="100" w:type="dxa"/>
              <w:start w:w="100" w:type="dxa"/>
              <w:bottom w:w="100" w:type="dxa"/>
              <w:end w:w="100" w:type="dxa"/>
            </w:tcMar>
            <w:vAlign w:val="center"/>
          </w:tcPr>
          <w:p>
            <w:pPr>
              <w:spacing w:after="0"/>
              <w:jc w:val="center"/>
            </w:pPr>
            <w:r>
              <w:rPr>
                <w:rFonts w:ascii="Arial" w:hAnsi="Arial"/>
                <w:b/>
                <w:color w:val="FFFFFF"/>
                <w:sz w:val="18"/>
              </w:rPr>
              <w:t>Requirement</w:t>
            </w:r>
          </w:p>
        </w:tc>
        <w:tc>
          <w:tcPr>
            <w:tcW w:type="dxa" w:w="4896"/>
            <w:shd w:fill="178C83"/>
            <w:tcMar>
              <w:top w:w="100" w:type="dxa"/>
              <w:start w:w="100" w:type="dxa"/>
              <w:bottom w:w="100" w:type="dxa"/>
              <w:end w:w="100" w:type="dxa"/>
            </w:tcMar>
            <w:vAlign w:val="center"/>
          </w:tcPr>
          <w:p>
            <w:pPr>
              <w:spacing w:after="0"/>
              <w:jc w:val="center"/>
            </w:pPr>
            <w:r>
              <w:rPr>
                <w:rFonts w:ascii="Arial" w:hAnsi="Arial"/>
                <w:b/>
                <w:color w:val="FFFFFF"/>
                <w:sz w:val="18"/>
              </w:rPr>
              <w:t>Acceptance evidence</w:t>
            </w:r>
          </w:p>
        </w:tc>
        <w:tc>
          <w:tcPr>
            <w:tcW w:type="dxa" w:w="936"/>
            <w:shd w:fill="178C83"/>
            <w:tcMar>
              <w:top w:w="100" w:type="dxa"/>
              <w:start w:w="100" w:type="dxa"/>
              <w:bottom w:w="100" w:type="dxa"/>
              <w:end w:w="100" w:type="dxa"/>
            </w:tcMar>
            <w:vAlign w:val="center"/>
          </w:tcPr>
          <w:p>
            <w:pPr>
              <w:spacing w:after="0"/>
              <w:jc w:val="center"/>
            </w:pPr>
            <w:r>
              <w:rPr>
                <w:rFonts w:ascii="Arial" w:hAnsi="Arial"/>
                <w:b/>
                <w:color w:val="FFFFFF"/>
                <w:sz w:val="18"/>
              </w:rPr>
              <w:t>Class</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FR-44</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Provide an inbound-call personalization endpoint for ElevenLabs.</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The endpoint validates the request and returns approved initiation data within the configured timeout.</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FR-45</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Resolve caller-ID states as unique match, no match, ambiguous, unauthorized or unavailable.</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Ambiguous or unauthorized states disclose no personal context.</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FR-46</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Return minimum approved dynamic variables such as language, likely park and non-sensitive customer status.</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Sensitive booking or support data is not returned before verification.</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FR-47</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Expose typed tool APIs for authoritative park, customer, booking, support, link, task and callback functions.</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Every tool is authenticated, schema-validated, purpose-limited and audited.</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FR-48</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Enforce identity-verification requirements by intent and data sensitivity.</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A tool returns an explicit verification-required result instead of data when policy is not met.</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FR-49</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Provide read-only customer, upcoming-booking and recent-support context where approved.</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The response is minimized and captured as an immutable call-time snapshot.</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FR-50</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Provide read-only availability with a no-hold warning.</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The agent must state that capacity is not reserved until approved checkout completes.</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FR-51</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Create approved registration links, booking links, staff tasks and callback requests.</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Each result has idempotency, lifecycle status and a precise caller-facing message.</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FR-52</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Create and record warm-transfer context.</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The human operator receives language, park, intent, verification and concise factual context.</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FR-53</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Prohibit payment-card capture and capacity/payment-affecting booking actions by default.</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Tools reject prohibited actions and return the approved secure next step.</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bl>
    <w:p>
      <w:pPr>
        <w:spacing w:after="40"/>
      </w:pPr>
    </w:p>
    <w:p>
      <w:pPr>
        <w:pStyle w:val="Heading2"/>
        <w:keepNext/>
      </w:pPr>
      <w:r>
        <w:rPr>
          <w:rFonts w:ascii="Arial" w:hAnsi="Arial"/>
        </w:rPr>
        <w:t>7.7 Call ingestion and canonical history</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864"/>
        <w:gridCol w:w="3384"/>
        <w:gridCol w:w="4896"/>
        <w:gridCol w:w="936"/>
      </w:tblGrid>
      <w:tr>
        <w:trPr>
          <w:tblHeader w:val="true"/>
        </w:trPr>
        <w:tc>
          <w:tcPr>
            <w:tcW w:type="dxa" w:w="864"/>
            <w:shd w:fill="178C83"/>
            <w:tcMar>
              <w:top w:w="100" w:type="dxa"/>
              <w:start w:w="100" w:type="dxa"/>
              <w:bottom w:w="100" w:type="dxa"/>
              <w:end w:w="100" w:type="dxa"/>
            </w:tcMar>
            <w:vAlign w:val="center"/>
          </w:tcPr>
          <w:p>
            <w:pPr>
              <w:spacing w:after="0"/>
              <w:jc w:val="center"/>
            </w:pPr>
            <w:r>
              <w:rPr>
                <w:rFonts w:ascii="Arial" w:hAnsi="Arial"/>
                <w:b/>
                <w:color w:val="FFFFFF"/>
                <w:sz w:val="18"/>
              </w:rPr>
              <w:t>ID</w:t>
            </w:r>
          </w:p>
        </w:tc>
        <w:tc>
          <w:tcPr>
            <w:tcW w:type="dxa" w:w="3384"/>
            <w:shd w:fill="178C83"/>
            <w:tcMar>
              <w:top w:w="100" w:type="dxa"/>
              <w:start w:w="100" w:type="dxa"/>
              <w:bottom w:w="100" w:type="dxa"/>
              <w:end w:w="100" w:type="dxa"/>
            </w:tcMar>
            <w:vAlign w:val="center"/>
          </w:tcPr>
          <w:p>
            <w:pPr>
              <w:spacing w:after="0"/>
              <w:jc w:val="center"/>
            </w:pPr>
            <w:r>
              <w:rPr>
                <w:rFonts w:ascii="Arial" w:hAnsi="Arial"/>
                <w:b/>
                <w:color w:val="FFFFFF"/>
                <w:sz w:val="18"/>
              </w:rPr>
              <w:t>Requirement</w:t>
            </w:r>
          </w:p>
        </w:tc>
        <w:tc>
          <w:tcPr>
            <w:tcW w:type="dxa" w:w="4896"/>
            <w:shd w:fill="178C83"/>
            <w:tcMar>
              <w:top w:w="100" w:type="dxa"/>
              <w:start w:w="100" w:type="dxa"/>
              <w:bottom w:w="100" w:type="dxa"/>
              <w:end w:w="100" w:type="dxa"/>
            </w:tcMar>
            <w:vAlign w:val="center"/>
          </w:tcPr>
          <w:p>
            <w:pPr>
              <w:spacing w:after="0"/>
              <w:jc w:val="center"/>
            </w:pPr>
            <w:r>
              <w:rPr>
                <w:rFonts w:ascii="Arial" w:hAnsi="Arial"/>
                <w:b/>
                <w:color w:val="FFFFFF"/>
                <w:sz w:val="18"/>
              </w:rPr>
              <w:t>Acceptance evidence</w:t>
            </w:r>
          </w:p>
        </w:tc>
        <w:tc>
          <w:tcPr>
            <w:tcW w:type="dxa" w:w="936"/>
            <w:shd w:fill="178C83"/>
            <w:tcMar>
              <w:top w:w="100" w:type="dxa"/>
              <w:start w:w="100" w:type="dxa"/>
              <w:bottom w:w="100" w:type="dxa"/>
              <w:end w:w="100" w:type="dxa"/>
            </w:tcMar>
            <w:vAlign w:val="center"/>
          </w:tcPr>
          <w:p>
            <w:pPr>
              <w:spacing w:after="0"/>
              <w:jc w:val="center"/>
            </w:pPr>
            <w:r>
              <w:rPr>
                <w:rFonts w:ascii="Arial" w:hAnsi="Arial"/>
                <w:b/>
                <w:color w:val="FFFFFF"/>
                <w:sz w:val="18"/>
              </w:rPr>
              <w:t>Class</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FR-54</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Receive ElevenLabs post-call transcription webhooks.</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The endpoint supports the current documented payload and tolerates compatible additional fields.</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FR-55</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Verify webhook signatures, timestamp and replay protection, with network allowlisting where approved.</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Spoofed, stale or duplicate events are rejected or handled idempotently.</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FR-56</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Store the immutable raw provider event before enrichment.</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The raw event is access-controlled and linked to the canonical conversation.</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FR-57</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Process webhooks idempotently by provider event and conversation identifiers.</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Retries and out-of-order delivery do not create duplicate calls or summaries.</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FR-58</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Normalize the provider transcript into a canonical turn schema.</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Speaker, sequence, timestamps, tool events, provider IDs and quality fields are retained where available.</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FR-59</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Distinguish raw provider transcript from corrected canonical transcript.</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Corrections never overwrite the immutable provider version and require reason and attribution.</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FR-60</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Apply redaction and data classification before broad operational use.</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Restricted content is masked in standard views, summaries, analytics and exports.</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FR-61</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Generate a factual Quantum Parks call summary.</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The summary includes purpose, answer/action, unresolved items, handoff and commitments without inventing completion.</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FR-62</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Classify primary intent, secondary topics, entities, language, park and outcome.</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Taxonomy and model/prompt version are stored with confidence and correction history.</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FR-63</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Link calls to customers, bookings and support interactions where permitted and reliable.</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The link stores method, confidence, verification and reviewer corrections.</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FR-64</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Support conversation reconciliation, replay and provider import for missed events.</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Missing completed conversations can be identified and safely ingested once.</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bl>
    <w:p>
      <w:pPr>
        <w:spacing w:after="40"/>
      </w:pPr>
    </w:p>
    <w:p>
      <w:pPr>
        <w:pStyle w:val="Heading2"/>
        <w:keepNext/>
      </w:pPr>
      <w:r>
        <w:rPr>
          <w:rFonts w:ascii="Arial" w:hAnsi="Arial"/>
        </w:rPr>
        <w:t>7.8 Intelligence and reporting</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864"/>
        <w:gridCol w:w="3384"/>
        <w:gridCol w:w="4896"/>
        <w:gridCol w:w="936"/>
      </w:tblGrid>
      <w:tr>
        <w:trPr>
          <w:tblHeader w:val="true"/>
        </w:trPr>
        <w:tc>
          <w:tcPr>
            <w:tcW w:type="dxa" w:w="864"/>
            <w:shd w:fill="178C83"/>
            <w:tcMar>
              <w:top w:w="100" w:type="dxa"/>
              <w:start w:w="100" w:type="dxa"/>
              <w:bottom w:w="100" w:type="dxa"/>
              <w:end w:w="100" w:type="dxa"/>
            </w:tcMar>
            <w:vAlign w:val="center"/>
          </w:tcPr>
          <w:p>
            <w:pPr>
              <w:spacing w:after="0"/>
              <w:jc w:val="center"/>
            </w:pPr>
            <w:r>
              <w:rPr>
                <w:rFonts w:ascii="Arial" w:hAnsi="Arial"/>
                <w:b/>
                <w:color w:val="FFFFFF"/>
                <w:sz w:val="18"/>
              </w:rPr>
              <w:t>ID</w:t>
            </w:r>
          </w:p>
        </w:tc>
        <w:tc>
          <w:tcPr>
            <w:tcW w:type="dxa" w:w="3384"/>
            <w:shd w:fill="178C83"/>
            <w:tcMar>
              <w:top w:w="100" w:type="dxa"/>
              <w:start w:w="100" w:type="dxa"/>
              <w:bottom w:w="100" w:type="dxa"/>
              <w:end w:w="100" w:type="dxa"/>
            </w:tcMar>
            <w:vAlign w:val="center"/>
          </w:tcPr>
          <w:p>
            <w:pPr>
              <w:spacing w:after="0"/>
              <w:jc w:val="center"/>
            </w:pPr>
            <w:r>
              <w:rPr>
                <w:rFonts w:ascii="Arial" w:hAnsi="Arial"/>
                <w:b/>
                <w:color w:val="FFFFFF"/>
                <w:sz w:val="18"/>
              </w:rPr>
              <w:t>Requirement</w:t>
            </w:r>
          </w:p>
        </w:tc>
        <w:tc>
          <w:tcPr>
            <w:tcW w:type="dxa" w:w="4896"/>
            <w:shd w:fill="178C83"/>
            <w:tcMar>
              <w:top w:w="100" w:type="dxa"/>
              <w:start w:w="100" w:type="dxa"/>
              <w:bottom w:w="100" w:type="dxa"/>
              <w:end w:w="100" w:type="dxa"/>
            </w:tcMar>
            <w:vAlign w:val="center"/>
          </w:tcPr>
          <w:p>
            <w:pPr>
              <w:spacing w:after="0"/>
              <w:jc w:val="center"/>
            </w:pPr>
            <w:r>
              <w:rPr>
                <w:rFonts w:ascii="Arial" w:hAnsi="Arial"/>
                <w:b/>
                <w:color w:val="FFFFFF"/>
                <w:sz w:val="18"/>
              </w:rPr>
              <w:t>Acceptance evidence</w:t>
            </w:r>
          </w:p>
        </w:tc>
        <w:tc>
          <w:tcPr>
            <w:tcW w:type="dxa" w:w="936"/>
            <w:shd w:fill="178C83"/>
            <w:tcMar>
              <w:top w:w="100" w:type="dxa"/>
              <w:start w:w="100" w:type="dxa"/>
              <w:bottom w:w="100" w:type="dxa"/>
              <w:end w:w="100" w:type="dxa"/>
            </w:tcMar>
            <w:vAlign w:val="center"/>
          </w:tcPr>
          <w:p>
            <w:pPr>
              <w:spacing w:after="0"/>
              <w:jc w:val="center"/>
            </w:pPr>
            <w:r>
              <w:rPr>
                <w:rFonts w:ascii="Arial" w:hAnsi="Arial"/>
                <w:b/>
                <w:color w:val="FFFFFF"/>
                <w:sz w:val="18"/>
              </w:rPr>
              <w:t>Class</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FR-65</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Provide a searchable call-history dashboard.</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Users can filter by date, park, language, intent, outcome, agent version, customer state and quality.</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FR-66</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Provide a call-detail view with transcript, summary, timeline, tools, handoff, messages, sources and audit.</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Sensitive elements are masked or hidden by role.</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FR-67</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Aggregate call volume, answer outcomes, transfers, callbacks, unresolved calls and processing failures.</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Dashboard queries use optimized facts or aggregates rather than full transcript scans.</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FR-68</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Identify recurring questions, fastest-growing topics and knowledge gaps.</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Each insight links to supporting call counts and representative redacted examples.</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FR-69</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Identify repeat-contact and cross-channel ping-pong indicators.</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The metric distinguishes inferred linkage from verified customer identity.</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FR-70</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Report performance by park, language, agent version, knowledge version and call reason.</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Filters and comparisons are consistent across dashboard and reports.</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FR-71</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Measure digital follow-up and commercial signals such as link delivery, click, registration and attributable conversion where data exists.</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Commercial metrics never imply causation without defined attribution logic.</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FR-72</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Generate weekly operational and monthly strategic reports.</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Reports are scheduled, stored, permissioned and linked to underlying aggregates.</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FR-73</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Export approved data in controlled CSV/PDF formats.</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Exports are permissioned, masked, watermarked or audited according to policy.</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bl>
    <w:p>
      <w:pPr>
        <w:spacing w:after="40"/>
      </w:pPr>
    </w:p>
    <w:p>
      <w:pPr>
        <w:pStyle w:val="Heading2"/>
        <w:keepNext/>
      </w:pPr>
      <w:r>
        <w:rPr>
          <w:rFonts w:ascii="Arial" w:hAnsi="Arial"/>
        </w:rPr>
        <w:t>7.9 Operations and governance</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864"/>
        <w:gridCol w:w="3384"/>
        <w:gridCol w:w="4896"/>
        <w:gridCol w:w="936"/>
      </w:tblGrid>
      <w:tr>
        <w:trPr>
          <w:tblHeader w:val="true"/>
        </w:trPr>
        <w:tc>
          <w:tcPr>
            <w:tcW w:type="dxa" w:w="864"/>
            <w:shd w:fill="178C83"/>
            <w:tcMar>
              <w:top w:w="100" w:type="dxa"/>
              <w:start w:w="100" w:type="dxa"/>
              <w:bottom w:w="100" w:type="dxa"/>
              <w:end w:w="100" w:type="dxa"/>
            </w:tcMar>
            <w:vAlign w:val="center"/>
          </w:tcPr>
          <w:p>
            <w:pPr>
              <w:spacing w:after="0"/>
              <w:jc w:val="center"/>
            </w:pPr>
            <w:r>
              <w:rPr>
                <w:rFonts w:ascii="Arial" w:hAnsi="Arial"/>
                <w:b/>
                <w:color w:val="FFFFFF"/>
                <w:sz w:val="18"/>
              </w:rPr>
              <w:t>ID</w:t>
            </w:r>
          </w:p>
        </w:tc>
        <w:tc>
          <w:tcPr>
            <w:tcW w:type="dxa" w:w="3384"/>
            <w:shd w:fill="178C83"/>
            <w:tcMar>
              <w:top w:w="100" w:type="dxa"/>
              <w:start w:w="100" w:type="dxa"/>
              <w:bottom w:w="100" w:type="dxa"/>
              <w:end w:w="100" w:type="dxa"/>
            </w:tcMar>
            <w:vAlign w:val="center"/>
          </w:tcPr>
          <w:p>
            <w:pPr>
              <w:spacing w:after="0"/>
              <w:jc w:val="center"/>
            </w:pPr>
            <w:r>
              <w:rPr>
                <w:rFonts w:ascii="Arial" w:hAnsi="Arial"/>
                <w:b/>
                <w:color w:val="FFFFFF"/>
                <w:sz w:val="18"/>
              </w:rPr>
              <w:t>Requirement</w:t>
            </w:r>
          </w:p>
        </w:tc>
        <w:tc>
          <w:tcPr>
            <w:tcW w:type="dxa" w:w="4896"/>
            <w:shd w:fill="178C83"/>
            <w:tcMar>
              <w:top w:w="100" w:type="dxa"/>
              <w:start w:w="100" w:type="dxa"/>
              <w:bottom w:w="100" w:type="dxa"/>
              <w:end w:w="100" w:type="dxa"/>
            </w:tcMar>
            <w:vAlign w:val="center"/>
          </w:tcPr>
          <w:p>
            <w:pPr>
              <w:spacing w:after="0"/>
              <w:jc w:val="center"/>
            </w:pPr>
            <w:r>
              <w:rPr>
                <w:rFonts w:ascii="Arial" w:hAnsi="Arial"/>
                <w:b/>
                <w:color w:val="FFFFFF"/>
                <w:sz w:val="18"/>
              </w:rPr>
              <w:t>Acceptance evidence</w:t>
            </w:r>
          </w:p>
        </w:tc>
        <w:tc>
          <w:tcPr>
            <w:tcW w:type="dxa" w:w="936"/>
            <w:shd w:fill="178C83"/>
            <w:tcMar>
              <w:top w:w="100" w:type="dxa"/>
              <w:start w:w="100" w:type="dxa"/>
              <w:bottom w:w="100" w:type="dxa"/>
              <w:end w:w="100" w:type="dxa"/>
            </w:tcMar>
            <w:vAlign w:val="center"/>
          </w:tcPr>
          <w:p>
            <w:pPr>
              <w:spacing w:after="0"/>
              <w:jc w:val="center"/>
            </w:pPr>
            <w:r>
              <w:rPr>
                <w:rFonts w:ascii="Arial" w:hAnsi="Arial"/>
                <w:b/>
                <w:color w:val="FFFFFF"/>
                <w:sz w:val="18"/>
              </w:rPr>
              <w:t>Class</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FR-74</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Manage callbacks, staff tasks, owners, priorities, SLAs and completion.</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Tasks are deduplicated and linked to the source call and customer context.</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FR-75</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Send approved post-call WhatsApp/SMS summaries and links.</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Messages state what was answered, what remains unconfirmed and the next step.</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FR-76</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Track delivery receipts, opt-out, retry and channel fallback.</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A failed preferred channel can use an approved fallback without duplicate messages.</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FR-77</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Track human handoff requests, completion, failure and callback fallback.</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Failed transfers create visible alerts and controlled next steps.</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FR-78</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Provide QA sampling, review rubrics and correction workflows.</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Reviews capture factual accuracy, policy, language, routing and provider quality.</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FR-79</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Enforce server-side RBAC, field masking and separation of duties.</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Unauthorized API access fails even when the UI is bypassed.</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FR-80</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Maintain immutable audit history for configuration, content, release, access, correction, export and deletion events.</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Audit records are protected from ordinary modification and searchable by authorized auditors.</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shd w:fill="FAFBFC"/>
          </w:tcPr>
          <w:p>
            <w:pPr>
              <w:spacing w:after="0" w:line="247" w:lineRule="auto"/>
              <w:jc w:val="center"/>
            </w:pPr>
            <w:r>
              <w:rPr>
                <w:rFonts w:ascii="Arial" w:hAnsi="Arial"/>
                <w:b/>
                <w:color w:val="1F2937"/>
                <w:sz w:val="16"/>
              </w:rPr>
              <w:t>FR-81</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6"/>
              </w:rPr>
              <w:t>Provide retention, export, deletion and legal-hold workflows.</w:t>
            </w:r>
          </w:p>
        </w:tc>
        <w:tc>
          <w:tcPr>
            <w:tcW w:type="dxa" w:w="4896"/>
            <w:tcMar>
              <w:top w:w="90" w:type="dxa"/>
              <w:start w:w="100" w:type="dxa"/>
              <w:bottom w:w="90" w:type="dxa"/>
              <w:end w:w="100" w:type="dxa"/>
            </w:tcMar>
            <w:vAlign w:val="center"/>
            <w:shd w:fill="FAFBFC"/>
          </w:tcPr>
          <w:p>
            <w:pPr>
              <w:spacing w:after="0" w:line="247" w:lineRule="auto"/>
            </w:pPr>
            <w:r>
              <w:rPr>
                <w:rFonts w:ascii="Arial" w:hAnsi="Arial"/>
                <w:b w:val="0"/>
                <w:color w:val="1F2937"/>
                <w:sz w:val="16"/>
              </w:rPr>
              <w:t>Jobs are traceable, retryable and produce completion evidence.</w:t>
            </w:r>
          </w:p>
        </w:tc>
        <w:tc>
          <w:tcPr>
            <w:tcW w:type="dxa" w:w="936"/>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Core</w:t>
            </w:r>
          </w:p>
        </w:tc>
      </w:tr>
      <w:tr>
        <w:tc>
          <w:tcPr>
            <w:tcW w:type="dxa" w:w="864"/>
            <w:tcMar>
              <w:top w:w="90" w:type="dxa"/>
              <w:start w:w="100" w:type="dxa"/>
              <w:bottom w:w="90" w:type="dxa"/>
              <w:end w:w="100" w:type="dxa"/>
            </w:tcMar>
            <w:vAlign w:val="center"/>
          </w:tcPr>
          <w:p>
            <w:pPr>
              <w:spacing w:after="0" w:line="247" w:lineRule="auto"/>
              <w:jc w:val="center"/>
            </w:pPr>
            <w:r>
              <w:rPr>
                <w:rFonts w:ascii="Arial" w:hAnsi="Arial"/>
                <w:b/>
                <w:color w:val="1F2937"/>
                <w:sz w:val="16"/>
              </w:rPr>
              <w:t>FR-82</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6"/>
              </w:rPr>
              <w:t>Ensure normal users can perform all supported day-to-day ElevenLabs operations from the Quantum Parks application.</w:t>
            </w:r>
          </w:p>
        </w:tc>
        <w:tc>
          <w:tcPr>
            <w:tcW w:type="dxa" w:w="4896"/>
            <w:tcMar>
              <w:top w:w="90" w:type="dxa"/>
              <w:start w:w="100" w:type="dxa"/>
              <w:bottom w:w="90" w:type="dxa"/>
              <w:end w:w="100" w:type="dxa"/>
            </w:tcMar>
            <w:vAlign w:val="center"/>
          </w:tcPr>
          <w:p>
            <w:pPr>
              <w:spacing w:after="0" w:line="247" w:lineRule="auto"/>
            </w:pPr>
            <w:r>
              <w:rPr>
                <w:rFonts w:ascii="Arial" w:hAnsi="Arial"/>
                <w:b w:val="0"/>
                <w:color w:val="1F2937"/>
                <w:sz w:val="16"/>
              </w:rPr>
              <w:t>The only accepted portal dependencies are documented vendor onboarding, billing, contract or currently API-inaccessible functions.</w:t>
            </w:r>
          </w:p>
        </w:tc>
        <w:tc>
          <w:tcPr>
            <w:tcW w:type="dxa" w:w="936"/>
            <w:tcMar>
              <w:top w:w="90" w:type="dxa"/>
              <w:start w:w="100" w:type="dxa"/>
              <w:bottom w:w="90" w:type="dxa"/>
              <w:end w:w="100" w:type="dxa"/>
            </w:tcMar>
            <w:vAlign w:val="center"/>
          </w:tcPr>
          <w:p>
            <w:pPr>
              <w:spacing w:after="0" w:line="247" w:lineRule="auto"/>
              <w:jc w:val="center"/>
            </w:pPr>
            <w:r>
              <w:rPr>
                <w:rFonts w:ascii="Arial" w:hAnsi="Arial"/>
                <w:b w:val="0"/>
                <w:color w:val="1F2937"/>
                <w:sz w:val="16"/>
              </w:rPr>
              <w:t>Core</w:t>
            </w:r>
          </w:p>
        </w:tc>
      </w:tr>
    </w:tbl>
    <w:p>
      <w:pPr>
        <w:spacing w:after="40"/>
      </w:pPr>
    </w:p>
    <w:p>
      <w:pPr>
        <w:pStyle w:val="Heading1"/>
        <w:keepNext/>
        <w:pageBreakBefore w:val="0"/>
      </w:pPr>
      <w:r>
        <w:rPr>
          <w:rFonts w:ascii="Arial" w:hAnsi="Arial"/>
        </w:rPr>
        <w:t>8  Non-functional requirements</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1080"/>
        <w:gridCol w:w="2160"/>
        <w:gridCol w:w="6696"/>
      </w:tblGrid>
      <w:tr>
        <w:trPr>
          <w:tblHeader w:val="true"/>
        </w:trPr>
        <w:tc>
          <w:tcPr>
            <w:tcW w:type="dxa" w:w="1080"/>
            <w:shd w:fill="12304A"/>
            <w:tcMar>
              <w:top w:w="100" w:type="dxa"/>
              <w:start w:w="100" w:type="dxa"/>
              <w:bottom w:w="100" w:type="dxa"/>
              <w:end w:w="100" w:type="dxa"/>
            </w:tcMar>
            <w:vAlign w:val="center"/>
          </w:tcPr>
          <w:p>
            <w:pPr>
              <w:spacing w:after="0"/>
              <w:jc w:val="center"/>
            </w:pPr>
            <w:r>
              <w:rPr>
                <w:rFonts w:ascii="Arial" w:hAnsi="Arial"/>
                <w:b/>
                <w:color w:val="FFFFFF"/>
                <w:sz w:val="18"/>
              </w:rPr>
              <w:t>ID</w:t>
            </w:r>
          </w:p>
        </w:tc>
        <w:tc>
          <w:tcPr>
            <w:tcW w:type="dxa" w:w="2160"/>
            <w:shd w:fill="12304A"/>
            <w:tcMar>
              <w:top w:w="100" w:type="dxa"/>
              <w:start w:w="100" w:type="dxa"/>
              <w:bottom w:w="100" w:type="dxa"/>
              <w:end w:w="100" w:type="dxa"/>
            </w:tcMar>
            <w:vAlign w:val="center"/>
          </w:tcPr>
          <w:p>
            <w:pPr>
              <w:spacing w:after="0"/>
              <w:jc w:val="center"/>
            </w:pPr>
            <w:r>
              <w:rPr>
                <w:rFonts w:ascii="Arial" w:hAnsi="Arial"/>
                <w:b/>
                <w:color w:val="FFFFFF"/>
                <w:sz w:val="18"/>
              </w:rPr>
              <w:t>Quality attribute</w:t>
            </w:r>
          </w:p>
        </w:tc>
        <w:tc>
          <w:tcPr>
            <w:tcW w:type="dxa" w:w="6696"/>
            <w:shd w:fill="12304A"/>
            <w:tcMar>
              <w:top w:w="100" w:type="dxa"/>
              <w:start w:w="100" w:type="dxa"/>
              <w:bottom w:w="100" w:type="dxa"/>
              <w:end w:w="100" w:type="dxa"/>
            </w:tcMar>
            <w:vAlign w:val="center"/>
          </w:tcPr>
          <w:p>
            <w:pPr>
              <w:spacing w:after="0"/>
              <w:jc w:val="center"/>
            </w:pPr>
            <w:r>
              <w:rPr>
                <w:rFonts w:ascii="Arial" w:hAnsi="Arial"/>
                <w:b/>
                <w:color w:val="FFFFFF"/>
                <w:sz w:val="18"/>
              </w:rPr>
              <w:t>Requirement</w:t>
            </w:r>
          </w:p>
        </w:tc>
      </w:tr>
      <w:tr>
        <w:tc>
          <w:tcPr>
            <w:tcW w:type="dxa" w:w="1080"/>
            <w:tcMar>
              <w:top w:w="90" w:type="dxa"/>
              <w:start w:w="100" w:type="dxa"/>
              <w:bottom w:w="90" w:type="dxa"/>
              <w:end w:w="100" w:type="dxa"/>
            </w:tcMar>
            <w:vAlign w:val="center"/>
          </w:tcPr>
          <w:p>
            <w:pPr>
              <w:spacing w:after="0" w:line="247" w:lineRule="auto"/>
            </w:pPr>
            <w:r>
              <w:rPr>
                <w:rFonts w:ascii="Arial" w:hAnsi="Arial"/>
                <w:b/>
                <w:color w:val="1F2937"/>
                <w:sz w:val="17"/>
              </w:rPr>
              <w:t>NFR-01</w:t>
            </w:r>
          </w:p>
        </w:tc>
        <w:tc>
          <w:tcPr>
            <w:tcW w:type="dxa" w:w="2160"/>
            <w:tcMar>
              <w:top w:w="90" w:type="dxa"/>
              <w:start w:w="100" w:type="dxa"/>
              <w:bottom w:w="90" w:type="dxa"/>
              <w:end w:w="100" w:type="dxa"/>
            </w:tcMar>
            <w:vAlign w:val="center"/>
          </w:tcPr>
          <w:p>
            <w:pPr>
              <w:spacing w:after="0" w:line="247" w:lineRule="auto"/>
            </w:pPr>
            <w:r>
              <w:rPr>
                <w:rFonts w:ascii="Arial" w:hAnsi="Arial"/>
                <w:b w:val="0"/>
                <w:color w:val="1F2937"/>
                <w:sz w:val="17"/>
              </w:rPr>
              <w:t>Provider availability</w:t>
            </w:r>
          </w:p>
        </w:tc>
        <w:tc>
          <w:tcPr>
            <w:tcW w:type="dxa" w:w="6696"/>
            <w:tcMar>
              <w:top w:w="90" w:type="dxa"/>
              <w:start w:w="100" w:type="dxa"/>
              <w:bottom w:w="90" w:type="dxa"/>
              <w:end w:w="100" w:type="dxa"/>
            </w:tcMar>
            <w:vAlign w:val="center"/>
          </w:tcPr>
          <w:p>
            <w:pPr>
              <w:spacing w:after="0" w:line="247" w:lineRule="auto"/>
            </w:pPr>
            <w:r>
              <w:rPr>
                <w:rFonts w:ascii="Arial" w:hAnsi="Arial"/>
                <w:b w:val="0"/>
                <w:color w:val="1F2937"/>
                <w:sz w:val="17"/>
              </w:rPr>
              <w:t>The application must degrade clearly when ElevenLabs is unavailable and must never show a false publish, test or call-processing success.</w:t>
            </w:r>
          </w:p>
        </w:tc>
      </w:tr>
      <w:tr>
        <w:tc>
          <w:tcPr>
            <w:tcW w:type="dxa" w:w="1080"/>
            <w:tcMar>
              <w:top w:w="90" w:type="dxa"/>
              <w:start w:w="100" w:type="dxa"/>
              <w:bottom w:w="90" w:type="dxa"/>
              <w:end w:w="100" w:type="dxa"/>
            </w:tcMar>
            <w:vAlign w:val="center"/>
            <w:shd w:fill="FAFBFC"/>
          </w:tcPr>
          <w:p>
            <w:pPr>
              <w:spacing w:after="0" w:line="247" w:lineRule="auto"/>
            </w:pPr>
            <w:r>
              <w:rPr>
                <w:rFonts w:ascii="Arial" w:hAnsi="Arial"/>
                <w:b/>
                <w:color w:val="1F2937"/>
                <w:sz w:val="17"/>
              </w:rPr>
              <w:t>NFR-02</w:t>
            </w:r>
          </w:p>
        </w:tc>
        <w:tc>
          <w:tcPr>
            <w:tcW w:type="dxa" w:w="2160"/>
            <w:tcMar>
              <w:top w:w="90" w:type="dxa"/>
              <w:start w:w="100" w:type="dxa"/>
              <w:bottom w:w="90" w:type="dxa"/>
              <w:end w:w="100" w:type="dxa"/>
            </w:tcMar>
            <w:vAlign w:val="center"/>
            <w:shd w:fill="FAFBFC"/>
          </w:tcPr>
          <w:p>
            <w:pPr>
              <w:spacing w:after="0" w:line="247" w:lineRule="auto"/>
            </w:pPr>
            <w:r>
              <w:rPr>
                <w:rFonts w:ascii="Arial" w:hAnsi="Arial"/>
                <w:b w:val="0"/>
                <w:color w:val="1F2937"/>
                <w:sz w:val="17"/>
              </w:rPr>
              <w:t>Webhook reliability</w:t>
            </w:r>
          </w:p>
        </w:tc>
        <w:tc>
          <w:tcPr>
            <w:tcW w:type="dxa" w:w="6696"/>
            <w:tcMar>
              <w:top w:w="90" w:type="dxa"/>
              <w:start w:w="100" w:type="dxa"/>
              <w:bottom w:w="90" w:type="dxa"/>
              <w:end w:w="100" w:type="dxa"/>
            </w:tcMar>
            <w:vAlign w:val="center"/>
            <w:shd w:fill="FAFBFC"/>
          </w:tcPr>
          <w:p>
            <w:pPr>
              <w:spacing w:after="0" w:line="247" w:lineRule="auto"/>
            </w:pPr>
            <w:r>
              <w:rPr>
                <w:rFonts w:ascii="Arial" w:hAnsi="Arial"/>
                <w:b w:val="0"/>
                <w:color w:val="1F2937"/>
                <w:sz w:val="17"/>
              </w:rPr>
              <w:t>The post-call ingestion endpoint must be highly available, fast to acknowledge, signed, replay-safe and idempotent.</w:t>
            </w:r>
          </w:p>
        </w:tc>
      </w:tr>
      <w:tr>
        <w:tc>
          <w:tcPr>
            <w:tcW w:type="dxa" w:w="1080"/>
            <w:tcMar>
              <w:top w:w="90" w:type="dxa"/>
              <w:start w:w="100" w:type="dxa"/>
              <w:bottom w:w="90" w:type="dxa"/>
              <w:end w:w="100" w:type="dxa"/>
            </w:tcMar>
            <w:vAlign w:val="center"/>
          </w:tcPr>
          <w:p>
            <w:pPr>
              <w:spacing w:after="0" w:line="247" w:lineRule="auto"/>
            </w:pPr>
            <w:r>
              <w:rPr>
                <w:rFonts w:ascii="Arial" w:hAnsi="Arial"/>
                <w:b/>
                <w:color w:val="1F2937"/>
                <w:sz w:val="17"/>
              </w:rPr>
              <w:t>NFR-03</w:t>
            </w:r>
          </w:p>
        </w:tc>
        <w:tc>
          <w:tcPr>
            <w:tcW w:type="dxa" w:w="2160"/>
            <w:tcMar>
              <w:top w:w="90" w:type="dxa"/>
              <w:start w:w="100" w:type="dxa"/>
              <w:bottom w:w="90" w:type="dxa"/>
              <w:end w:w="100" w:type="dxa"/>
            </w:tcMar>
            <w:vAlign w:val="center"/>
          </w:tcPr>
          <w:p>
            <w:pPr>
              <w:spacing w:after="0" w:line="247" w:lineRule="auto"/>
            </w:pPr>
            <w:r>
              <w:rPr>
                <w:rFonts w:ascii="Arial" w:hAnsi="Arial"/>
                <w:b w:val="0"/>
                <w:color w:val="1F2937"/>
                <w:sz w:val="17"/>
              </w:rPr>
              <w:t>Processing timeliness</w:t>
            </w:r>
          </w:p>
        </w:tc>
        <w:tc>
          <w:tcPr>
            <w:tcW w:type="dxa" w:w="6696"/>
            <w:tcMar>
              <w:top w:w="90" w:type="dxa"/>
              <w:start w:w="100" w:type="dxa"/>
              <w:bottom w:w="90" w:type="dxa"/>
              <w:end w:w="100" w:type="dxa"/>
            </w:tcMar>
            <w:vAlign w:val="center"/>
          </w:tcPr>
          <w:p>
            <w:pPr>
              <w:spacing w:after="0" w:line="247" w:lineRule="auto"/>
            </w:pPr>
            <w:r>
              <w:rPr>
                <w:rFonts w:ascii="Arial" w:hAnsi="Arial"/>
                <w:b w:val="0"/>
                <w:color w:val="1F2937"/>
                <w:sz w:val="17"/>
              </w:rPr>
              <w:t>At least 95% of eligible completed calls should produce the canonical transcript, summary, classification and outcome within five minutes under normal load; target requires validation.</w:t>
            </w:r>
          </w:p>
        </w:tc>
      </w:tr>
      <w:tr>
        <w:tc>
          <w:tcPr>
            <w:tcW w:type="dxa" w:w="1080"/>
            <w:tcMar>
              <w:top w:w="90" w:type="dxa"/>
              <w:start w:w="100" w:type="dxa"/>
              <w:bottom w:w="90" w:type="dxa"/>
              <w:end w:w="100" w:type="dxa"/>
            </w:tcMar>
            <w:vAlign w:val="center"/>
            <w:shd w:fill="FAFBFC"/>
          </w:tcPr>
          <w:p>
            <w:pPr>
              <w:spacing w:after="0" w:line="247" w:lineRule="auto"/>
            </w:pPr>
            <w:r>
              <w:rPr>
                <w:rFonts w:ascii="Arial" w:hAnsi="Arial"/>
                <w:b/>
                <w:color w:val="1F2937"/>
                <w:sz w:val="17"/>
              </w:rPr>
              <w:t>NFR-04</w:t>
            </w:r>
          </w:p>
        </w:tc>
        <w:tc>
          <w:tcPr>
            <w:tcW w:type="dxa" w:w="2160"/>
            <w:tcMar>
              <w:top w:w="90" w:type="dxa"/>
              <w:start w:w="100" w:type="dxa"/>
              <w:bottom w:w="90" w:type="dxa"/>
              <w:end w:w="100" w:type="dxa"/>
            </w:tcMar>
            <w:vAlign w:val="center"/>
            <w:shd w:fill="FAFBFC"/>
          </w:tcPr>
          <w:p>
            <w:pPr>
              <w:spacing w:after="0" w:line="247" w:lineRule="auto"/>
            </w:pPr>
            <w:r>
              <w:rPr>
                <w:rFonts w:ascii="Arial" w:hAnsi="Arial"/>
                <w:b w:val="0"/>
                <w:color w:val="1F2937"/>
                <w:sz w:val="17"/>
              </w:rPr>
              <w:t>Control-plane responsiveness</w:t>
            </w:r>
          </w:p>
        </w:tc>
        <w:tc>
          <w:tcPr>
            <w:tcW w:type="dxa" w:w="6696"/>
            <w:tcMar>
              <w:top w:w="90" w:type="dxa"/>
              <w:start w:w="100" w:type="dxa"/>
              <w:bottom w:w="90" w:type="dxa"/>
              <w:end w:w="100" w:type="dxa"/>
            </w:tcMar>
            <w:vAlign w:val="center"/>
            <w:shd w:fill="FAFBFC"/>
          </w:tcPr>
          <w:p>
            <w:pPr>
              <w:spacing w:after="0" w:line="247" w:lineRule="auto"/>
            </w:pPr>
            <w:r>
              <w:rPr>
                <w:rFonts w:ascii="Arial" w:hAnsi="Arial"/>
                <w:b w:val="0"/>
                <w:color w:val="1F2937"/>
                <w:sz w:val="17"/>
              </w:rPr>
              <w:t>Normal admin pages should meet a P95 server response target of two seconds excluding deliberate provider operations; long provider work is asynchronous.</w:t>
            </w:r>
          </w:p>
        </w:tc>
      </w:tr>
      <w:tr>
        <w:tc>
          <w:tcPr>
            <w:tcW w:type="dxa" w:w="1080"/>
            <w:tcMar>
              <w:top w:w="90" w:type="dxa"/>
              <w:start w:w="100" w:type="dxa"/>
              <w:bottom w:w="90" w:type="dxa"/>
              <w:end w:w="100" w:type="dxa"/>
            </w:tcMar>
            <w:vAlign w:val="center"/>
          </w:tcPr>
          <w:p>
            <w:pPr>
              <w:spacing w:after="0" w:line="247" w:lineRule="auto"/>
            </w:pPr>
            <w:r>
              <w:rPr>
                <w:rFonts w:ascii="Arial" w:hAnsi="Arial"/>
                <w:b/>
                <w:color w:val="1F2937"/>
                <w:sz w:val="17"/>
              </w:rPr>
              <w:t>NFR-05</w:t>
            </w:r>
          </w:p>
        </w:tc>
        <w:tc>
          <w:tcPr>
            <w:tcW w:type="dxa" w:w="2160"/>
            <w:tcMar>
              <w:top w:w="90" w:type="dxa"/>
              <w:start w:w="100" w:type="dxa"/>
              <w:bottom w:w="90" w:type="dxa"/>
              <w:end w:w="100" w:type="dxa"/>
            </w:tcMar>
            <w:vAlign w:val="center"/>
          </w:tcPr>
          <w:p>
            <w:pPr>
              <w:spacing w:after="0" w:line="247" w:lineRule="auto"/>
            </w:pPr>
            <w:r>
              <w:rPr>
                <w:rFonts w:ascii="Arial" w:hAnsi="Arial"/>
                <w:b w:val="0"/>
                <w:color w:val="1F2937"/>
                <w:sz w:val="17"/>
              </w:rPr>
              <w:t>Synchronization integrity</w:t>
            </w:r>
          </w:p>
        </w:tc>
        <w:tc>
          <w:tcPr>
            <w:tcW w:type="dxa" w:w="6696"/>
            <w:tcMar>
              <w:top w:w="90" w:type="dxa"/>
              <w:start w:w="100" w:type="dxa"/>
              <w:bottom w:w="90" w:type="dxa"/>
              <w:end w:w="100" w:type="dxa"/>
            </w:tcMar>
            <w:vAlign w:val="center"/>
          </w:tcPr>
          <w:p>
            <w:pPr>
              <w:spacing w:after="0" w:line="247" w:lineRule="auto"/>
            </w:pPr>
            <w:r>
              <w:rPr>
                <w:rFonts w:ascii="Arial" w:hAnsi="Arial"/>
                <w:b w:val="0"/>
                <w:color w:val="1F2937"/>
                <w:sz w:val="17"/>
              </w:rPr>
              <w:t>Local approved state and remote runtime state must be reconcilable, with no silent partial publication.</w:t>
            </w:r>
          </w:p>
        </w:tc>
      </w:tr>
      <w:tr>
        <w:tc>
          <w:tcPr>
            <w:tcW w:type="dxa" w:w="1080"/>
            <w:tcMar>
              <w:top w:w="90" w:type="dxa"/>
              <w:start w:w="100" w:type="dxa"/>
              <w:bottom w:w="90" w:type="dxa"/>
              <w:end w:w="100" w:type="dxa"/>
            </w:tcMar>
            <w:vAlign w:val="center"/>
            <w:shd w:fill="FAFBFC"/>
          </w:tcPr>
          <w:p>
            <w:pPr>
              <w:spacing w:after="0" w:line="247" w:lineRule="auto"/>
            </w:pPr>
            <w:r>
              <w:rPr>
                <w:rFonts w:ascii="Arial" w:hAnsi="Arial"/>
                <w:b/>
                <w:color w:val="1F2937"/>
                <w:sz w:val="17"/>
              </w:rPr>
              <w:t>NFR-06</w:t>
            </w:r>
          </w:p>
        </w:tc>
        <w:tc>
          <w:tcPr>
            <w:tcW w:type="dxa" w:w="2160"/>
            <w:tcMar>
              <w:top w:w="90" w:type="dxa"/>
              <w:start w:w="100" w:type="dxa"/>
              <w:bottom w:w="90" w:type="dxa"/>
              <w:end w:w="100" w:type="dxa"/>
            </w:tcMar>
            <w:vAlign w:val="center"/>
            <w:shd w:fill="FAFBFC"/>
          </w:tcPr>
          <w:p>
            <w:pPr>
              <w:spacing w:after="0" w:line="247" w:lineRule="auto"/>
            </w:pPr>
            <w:r>
              <w:rPr>
                <w:rFonts w:ascii="Arial" w:hAnsi="Arial"/>
                <w:b w:val="0"/>
                <w:color w:val="1F2937"/>
                <w:sz w:val="17"/>
              </w:rPr>
              <w:t>Scalability</w:t>
            </w:r>
          </w:p>
        </w:tc>
        <w:tc>
          <w:tcPr>
            <w:tcW w:type="dxa" w:w="6696"/>
            <w:tcMar>
              <w:top w:w="90" w:type="dxa"/>
              <w:start w:w="100" w:type="dxa"/>
              <w:bottom w:w="90" w:type="dxa"/>
              <w:end w:w="100" w:type="dxa"/>
            </w:tcMar>
            <w:vAlign w:val="center"/>
            <w:shd w:fill="FAFBFC"/>
          </w:tcPr>
          <w:p>
            <w:pPr>
              <w:spacing w:after="0" w:line="247" w:lineRule="auto"/>
            </w:pPr>
            <w:r>
              <w:rPr>
                <w:rFonts w:ascii="Arial" w:hAnsi="Arial"/>
                <w:b w:val="0"/>
                <w:color w:val="1F2937"/>
                <w:sz w:val="17"/>
              </w:rPr>
              <w:t>The platform must ingest concurrent call completions and run background intelligence without blocking user operations.</w:t>
            </w:r>
          </w:p>
        </w:tc>
      </w:tr>
      <w:tr>
        <w:tc>
          <w:tcPr>
            <w:tcW w:type="dxa" w:w="1080"/>
            <w:tcMar>
              <w:top w:w="90" w:type="dxa"/>
              <w:start w:w="100" w:type="dxa"/>
              <w:bottom w:w="90" w:type="dxa"/>
              <w:end w:w="100" w:type="dxa"/>
            </w:tcMar>
            <w:vAlign w:val="center"/>
          </w:tcPr>
          <w:p>
            <w:pPr>
              <w:spacing w:after="0" w:line="247" w:lineRule="auto"/>
            </w:pPr>
            <w:r>
              <w:rPr>
                <w:rFonts w:ascii="Arial" w:hAnsi="Arial"/>
                <w:b/>
                <w:color w:val="1F2937"/>
                <w:sz w:val="17"/>
              </w:rPr>
              <w:t>NFR-07</w:t>
            </w:r>
          </w:p>
        </w:tc>
        <w:tc>
          <w:tcPr>
            <w:tcW w:type="dxa" w:w="2160"/>
            <w:tcMar>
              <w:top w:w="90" w:type="dxa"/>
              <w:start w:w="100" w:type="dxa"/>
              <w:bottom w:w="90" w:type="dxa"/>
              <w:end w:w="100" w:type="dxa"/>
            </w:tcMar>
            <w:vAlign w:val="center"/>
          </w:tcPr>
          <w:p>
            <w:pPr>
              <w:spacing w:after="0" w:line="247" w:lineRule="auto"/>
            </w:pPr>
            <w:r>
              <w:rPr>
                <w:rFonts w:ascii="Arial" w:hAnsi="Arial"/>
                <w:b w:val="0"/>
                <w:color w:val="1F2937"/>
                <w:sz w:val="17"/>
              </w:rPr>
              <w:t>Security</w:t>
            </w:r>
          </w:p>
        </w:tc>
        <w:tc>
          <w:tcPr>
            <w:tcW w:type="dxa" w:w="6696"/>
            <w:tcMar>
              <w:top w:w="90" w:type="dxa"/>
              <w:start w:w="100" w:type="dxa"/>
              <w:bottom w:w="90" w:type="dxa"/>
              <w:end w:w="100" w:type="dxa"/>
            </w:tcMar>
            <w:vAlign w:val="center"/>
          </w:tcPr>
          <w:p>
            <w:pPr>
              <w:spacing w:after="0" w:line="247" w:lineRule="auto"/>
            </w:pPr>
            <w:r>
              <w:rPr>
                <w:rFonts w:ascii="Arial" w:hAnsi="Arial"/>
                <w:b w:val="0"/>
                <w:color w:val="1F2937"/>
                <w:sz w:val="17"/>
              </w:rPr>
              <w:t>Encryption, scoped service credentials, RBAC, signed webhooks, input validation, secure headers and audit are mandatory.</w:t>
            </w:r>
          </w:p>
        </w:tc>
      </w:tr>
      <w:tr>
        <w:tc>
          <w:tcPr>
            <w:tcW w:type="dxa" w:w="1080"/>
            <w:tcMar>
              <w:top w:w="90" w:type="dxa"/>
              <w:start w:w="100" w:type="dxa"/>
              <w:bottom w:w="90" w:type="dxa"/>
              <w:end w:w="100" w:type="dxa"/>
            </w:tcMar>
            <w:vAlign w:val="center"/>
            <w:shd w:fill="FAFBFC"/>
          </w:tcPr>
          <w:p>
            <w:pPr>
              <w:spacing w:after="0" w:line="247" w:lineRule="auto"/>
            </w:pPr>
            <w:r>
              <w:rPr>
                <w:rFonts w:ascii="Arial" w:hAnsi="Arial"/>
                <w:b/>
                <w:color w:val="1F2937"/>
                <w:sz w:val="17"/>
              </w:rPr>
              <w:t>NFR-08</w:t>
            </w:r>
          </w:p>
        </w:tc>
        <w:tc>
          <w:tcPr>
            <w:tcW w:type="dxa" w:w="2160"/>
            <w:tcMar>
              <w:top w:w="90" w:type="dxa"/>
              <w:start w:w="100" w:type="dxa"/>
              <w:bottom w:w="90" w:type="dxa"/>
              <w:end w:w="100" w:type="dxa"/>
            </w:tcMar>
            <w:vAlign w:val="center"/>
            <w:shd w:fill="FAFBFC"/>
          </w:tcPr>
          <w:p>
            <w:pPr>
              <w:spacing w:after="0" w:line="247" w:lineRule="auto"/>
            </w:pPr>
            <w:r>
              <w:rPr>
                <w:rFonts w:ascii="Arial" w:hAnsi="Arial"/>
                <w:b w:val="0"/>
                <w:color w:val="1F2937"/>
                <w:sz w:val="17"/>
              </w:rPr>
              <w:t>Privacy and minimization</w:t>
            </w:r>
          </w:p>
        </w:tc>
        <w:tc>
          <w:tcPr>
            <w:tcW w:type="dxa" w:w="6696"/>
            <w:tcMar>
              <w:top w:w="90" w:type="dxa"/>
              <w:start w:w="100" w:type="dxa"/>
              <w:bottom w:w="90" w:type="dxa"/>
              <w:end w:w="100" w:type="dxa"/>
            </w:tcMar>
            <w:vAlign w:val="center"/>
            <w:shd w:fill="FAFBFC"/>
          </w:tcPr>
          <w:p>
            <w:pPr>
              <w:spacing w:after="0" w:line="247" w:lineRule="auto"/>
            </w:pPr>
            <w:r>
              <w:rPr>
                <w:rFonts w:ascii="Arial" w:hAnsi="Arial"/>
                <w:b w:val="0"/>
                <w:color w:val="1F2937"/>
                <w:sz w:val="17"/>
              </w:rPr>
              <w:t>Only minimum necessary customer context may be sent to ElevenLabs or exposed to users for the current purpose.</w:t>
            </w:r>
          </w:p>
        </w:tc>
      </w:tr>
      <w:tr>
        <w:tc>
          <w:tcPr>
            <w:tcW w:type="dxa" w:w="1080"/>
            <w:tcMar>
              <w:top w:w="90" w:type="dxa"/>
              <w:start w:w="100" w:type="dxa"/>
              <w:bottom w:w="90" w:type="dxa"/>
              <w:end w:w="100" w:type="dxa"/>
            </w:tcMar>
            <w:vAlign w:val="center"/>
          </w:tcPr>
          <w:p>
            <w:pPr>
              <w:spacing w:after="0" w:line="247" w:lineRule="auto"/>
            </w:pPr>
            <w:r>
              <w:rPr>
                <w:rFonts w:ascii="Arial" w:hAnsi="Arial"/>
                <w:b/>
                <w:color w:val="1F2937"/>
                <w:sz w:val="17"/>
              </w:rPr>
              <w:t>NFR-09</w:t>
            </w:r>
          </w:p>
        </w:tc>
        <w:tc>
          <w:tcPr>
            <w:tcW w:type="dxa" w:w="2160"/>
            <w:tcMar>
              <w:top w:w="90" w:type="dxa"/>
              <w:start w:w="100" w:type="dxa"/>
              <w:bottom w:w="90" w:type="dxa"/>
              <w:end w:w="100" w:type="dxa"/>
            </w:tcMar>
            <w:vAlign w:val="center"/>
          </w:tcPr>
          <w:p>
            <w:pPr>
              <w:spacing w:after="0" w:line="247" w:lineRule="auto"/>
            </w:pPr>
            <w:r>
              <w:rPr>
                <w:rFonts w:ascii="Arial" w:hAnsi="Arial"/>
                <w:b w:val="0"/>
                <w:color w:val="1F2937"/>
                <w:sz w:val="17"/>
              </w:rPr>
              <w:t>Data residency and retention</w:t>
            </w:r>
          </w:p>
        </w:tc>
        <w:tc>
          <w:tcPr>
            <w:tcW w:type="dxa" w:w="6696"/>
            <w:tcMar>
              <w:top w:w="90" w:type="dxa"/>
              <w:start w:w="100" w:type="dxa"/>
              <w:bottom w:w="90" w:type="dxa"/>
              <w:end w:w="100" w:type="dxa"/>
            </w:tcMar>
            <w:vAlign w:val="center"/>
          </w:tcPr>
          <w:p>
            <w:pPr>
              <w:spacing w:after="0" w:line="247" w:lineRule="auto"/>
            </w:pPr>
            <w:r>
              <w:rPr>
                <w:rFonts w:ascii="Arial" w:hAnsi="Arial"/>
                <w:b w:val="0"/>
                <w:color w:val="1F2937"/>
                <w:sz w:val="17"/>
              </w:rPr>
              <w:t>Provider region, retention, zero-retention and deletion settings must be configurable and documented according to approved policy and contract.</w:t>
            </w:r>
          </w:p>
        </w:tc>
      </w:tr>
      <w:tr>
        <w:tc>
          <w:tcPr>
            <w:tcW w:type="dxa" w:w="1080"/>
            <w:tcMar>
              <w:top w:w="90" w:type="dxa"/>
              <w:start w:w="100" w:type="dxa"/>
              <w:bottom w:w="90" w:type="dxa"/>
              <w:end w:w="100" w:type="dxa"/>
            </w:tcMar>
            <w:vAlign w:val="center"/>
            <w:shd w:fill="FAFBFC"/>
          </w:tcPr>
          <w:p>
            <w:pPr>
              <w:spacing w:after="0" w:line="247" w:lineRule="auto"/>
            </w:pPr>
            <w:r>
              <w:rPr>
                <w:rFonts w:ascii="Arial" w:hAnsi="Arial"/>
                <w:b/>
                <w:color w:val="1F2937"/>
                <w:sz w:val="17"/>
              </w:rPr>
              <w:t>NFR-10</w:t>
            </w:r>
          </w:p>
        </w:tc>
        <w:tc>
          <w:tcPr>
            <w:tcW w:type="dxa" w:w="2160"/>
            <w:tcMar>
              <w:top w:w="90" w:type="dxa"/>
              <w:start w:w="100" w:type="dxa"/>
              <w:bottom w:w="90" w:type="dxa"/>
              <w:end w:w="100" w:type="dxa"/>
            </w:tcMar>
            <w:vAlign w:val="center"/>
            <w:shd w:fill="FAFBFC"/>
          </w:tcPr>
          <w:p>
            <w:pPr>
              <w:spacing w:after="0" w:line="247" w:lineRule="auto"/>
            </w:pPr>
            <w:r>
              <w:rPr>
                <w:rFonts w:ascii="Arial" w:hAnsi="Arial"/>
                <w:b w:val="0"/>
                <w:color w:val="1F2937"/>
                <w:sz w:val="17"/>
              </w:rPr>
              <w:t>Accessibility</w:t>
            </w:r>
          </w:p>
        </w:tc>
        <w:tc>
          <w:tcPr>
            <w:tcW w:type="dxa" w:w="6696"/>
            <w:tcMar>
              <w:top w:w="90" w:type="dxa"/>
              <w:start w:w="100" w:type="dxa"/>
              <w:bottom w:w="90" w:type="dxa"/>
              <w:end w:w="100" w:type="dxa"/>
            </w:tcMar>
            <w:vAlign w:val="center"/>
            <w:shd w:fill="FAFBFC"/>
          </w:tcPr>
          <w:p>
            <w:pPr>
              <w:spacing w:after="0" w:line="247" w:lineRule="auto"/>
            </w:pPr>
            <w:r>
              <w:rPr>
                <w:rFonts w:ascii="Arial" w:hAnsi="Arial"/>
                <w:b w:val="0"/>
                <w:color w:val="1F2937"/>
                <w:sz w:val="17"/>
              </w:rPr>
              <w:t>The application must target WCAG 2.2 AA, full keyboard operation, focus management and screen-reader semantics.</w:t>
            </w:r>
          </w:p>
        </w:tc>
      </w:tr>
      <w:tr>
        <w:tc>
          <w:tcPr>
            <w:tcW w:type="dxa" w:w="1080"/>
            <w:tcMar>
              <w:top w:w="90" w:type="dxa"/>
              <w:start w:w="100" w:type="dxa"/>
              <w:bottom w:w="90" w:type="dxa"/>
              <w:end w:w="100" w:type="dxa"/>
            </w:tcMar>
            <w:vAlign w:val="center"/>
          </w:tcPr>
          <w:p>
            <w:pPr>
              <w:spacing w:after="0" w:line="247" w:lineRule="auto"/>
            </w:pPr>
            <w:r>
              <w:rPr>
                <w:rFonts w:ascii="Arial" w:hAnsi="Arial"/>
                <w:b/>
                <w:color w:val="1F2937"/>
                <w:sz w:val="17"/>
              </w:rPr>
              <w:t>NFR-11</w:t>
            </w:r>
          </w:p>
        </w:tc>
        <w:tc>
          <w:tcPr>
            <w:tcW w:type="dxa" w:w="2160"/>
            <w:tcMar>
              <w:top w:w="90" w:type="dxa"/>
              <w:start w:w="100" w:type="dxa"/>
              <w:bottom w:w="90" w:type="dxa"/>
              <w:end w:w="100" w:type="dxa"/>
            </w:tcMar>
            <w:vAlign w:val="center"/>
          </w:tcPr>
          <w:p>
            <w:pPr>
              <w:spacing w:after="0" w:line="247" w:lineRule="auto"/>
            </w:pPr>
            <w:r>
              <w:rPr>
                <w:rFonts w:ascii="Arial" w:hAnsi="Arial"/>
                <w:b w:val="0"/>
                <w:color w:val="1F2937"/>
                <w:sz w:val="17"/>
              </w:rPr>
              <w:t>Auditability</w:t>
            </w:r>
          </w:p>
        </w:tc>
        <w:tc>
          <w:tcPr>
            <w:tcW w:type="dxa" w:w="6696"/>
            <w:tcMar>
              <w:top w:w="90" w:type="dxa"/>
              <w:start w:w="100" w:type="dxa"/>
              <w:bottom w:w="90" w:type="dxa"/>
              <w:end w:w="100" w:type="dxa"/>
            </w:tcMar>
            <w:vAlign w:val="center"/>
          </w:tcPr>
          <w:p>
            <w:pPr>
              <w:spacing w:after="0" w:line="247" w:lineRule="auto"/>
            </w:pPr>
            <w:r>
              <w:rPr>
                <w:rFonts w:ascii="Arial" w:hAnsi="Arial"/>
                <w:b w:val="0"/>
                <w:color w:val="1F2937"/>
                <w:sz w:val="17"/>
              </w:rPr>
              <w:t>Every production-impacting change must be attributable to an actor, version, reason, approval and test evidence.</w:t>
            </w:r>
          </w:p>
        </w:tc>
      </w:tr>
      <w:tr>
        <w:tc>
          <w:tcPr>
            <w:tcW w:type="dxa" w:w="1080"/>
            <w:tcMar>
              <w:top w:w="90" w:type="dxa"/>
              <w:start w:w="100" w:type="dxa"/>
              <w:bottom w:w="90" w:type="dxa"/>
              <w:end w:w="100" w:type="dxa"/>
            </w:tcMar>
            <w:vAlign w:val="center"/>
            <w:shd w:fill="FAFBFC"/>
          </w:tcPr>
          <w:p>
            <w:pPr>
              <w:spacing w:after="0" w:line="247" w:lineRule="auto"/>
            </w:pPr>
            <w:r>
              <w:rPr>
                <w:rFonts w:ascii="Arial" w:hAnsi="Arial"/>
                <w:b/>
                <w:color w:val="1F2937"/>
                <w:sz w:val="17"/>
              </w:rPr>
              <w:t>NFR-12</w:t>
            </w:r>
          </w:p>
        </w:tc>
        <w:tc>
          <w:tcPr>
            <w:tcW w:type="dxa" w:w="2160"/>
            <w:tcMar>
              <w:top w:w="90" w:type="dxa"/>
              <w:start w:w="100" w:type="dxa"/>
              <w:bottom w:w="90" w:type="dxa"/>
              <w:end w:w="100" w:type="dxa"/>
            </w:tcMar>
            <w:vAlign w:val="center"/>
            <w:shd w:fill="FAFBFC"/>
          </w:tcPr>
          <w:p>
            <w:pPr>
              <w:spacing w:after="0" w:line="247" w:lineRule="auto"/>
            </w:pPr>
            <w:r>
              <w:rPr>
                <w:rFonts w:ascii="Arial" w:hAnsi="Arial"/>
                <w:b w:val="0"/>
                <w:color w:val="1F2937"/>
                <w:sz w:val="17"/>
              </w:rPr>
              <w:t>Observability</w:t>
            </w:r>
          </w:p>
        </w:tc>
        <w:tc>
          <w:tcPr>
            <w:tcW w:type="dxa" w:w="6696"/>
            <w:tcMar>
              <w:top w:w="90" w:type="dxa"/>
              <w:start w:w="100" w:type="dxa"/>
              <w:bottom w:w="90" w:type="dxa"/>
              <w:end w:w="100" w:type="dxa"/>
            </w:tcMar>
            <w:vAlign w:val="center"/>
            <w:shd w:fill="FAFBFC"/>
          </w:tcPr>
          <w:p>
            <w:pPr>
              <w:spacing w:after="0" w:line="247" w:lineRule="auto"/>
            </w:pPr>
            <w:r>
              <w:rPr>
                <w:rFonts w:ascii="Arial" w:hAnsi="Arial"/>
                <w:b w:val="0"/>
                <w:color w:val="1F2937"/>
                <w:sz w:val="17"/>
              </w:rPr>
              <w:t>Metrics, logs and traces must cover provider API calls, webhooks, sync, tests, processing, tasks, messages, reports, latency, errors and cost.</w:t>
            </w:r>
          </w:p>
        </w:tc>
      </w:tr>
      <w:tr>
        <w:tc>
          <w:tcPr>
            <w:tcW w:type="dxa" w:w="1080"/>
            <w:tcMar>
              <w:top w:w="90" w:type="dxa"/>
              <w:start w:w="100" w:type="dxa"/>
              <w:bottom w:w="90" w:type="dxa"/>
              <w:end w:w="100" w:type="dxa"/>
            </w:tcMar>
            <w:vAlign w:val="center"/>
          </w:tcPr>
          <w:p>
            <w:pPr>
              <w:spacing w:after="0" w:line="247" w:lineRule="auto"/>
            </w:pPr>
            <w:r>
              <w:rPr>
                <w:rFonts w:ascii="Arial" w:hAnsi="Arial"/>
                <w:b/>
                <w:color w:val="1F2937"/>
                <w:sz w:val="17"/>
              </w:rPr>
              <w:t>NFR-13</w:t>
            </w:r>
          </w:p>
        </w:tc>
        <w:tc>
          <w:tcPr>
            <w:tcW w:type="dxa" w:w="2160"/>
            <w:tcMar>
              <w:top w:w="90" w:type="dxa"/>
              <w:start w:w="100" w:type="dxa"/>
              <w:bottom w:w="90" w:type="dxa"/>
              <w:end w:w="100" w:type="dxa"/>
            </w:tcMar>
            <w:vAlign w:val="center"/>
          </w:tcPr>
          <w:p>
            <w:pPr>
              <w:spacing w:after="0" w:line="247" w:lineRule="auto"/>
            </w:pPr>
            <w:r>
              <w:rPr>
                <w:rFonts w:ascii="Arial" w:hAnsi="Arial"/>
                <w:b w:val="0"/>
                <w:color w:val="1F2937"/>
                <w:sz w:val="17"/>
              </w:rPr>
              <w:t>Resilience</w:t>
            </w:r>
          </w:p>
        </w:tc>
        <w:tc>
          <w:tcPr>
            <w:tcW w:type="dxa" w:w="6696"/>
            <w:tcMar>
              <w:top w:w="90" w:type="dxa"/>
              <w:start w:w="100" w:type="dxa"/>
              <w:bottom w:w="90" w:type="dxa"/>
              <w:end w:w="100" w:type="dxa"/>
            </w:tcMar>
            <w:vAlign w:val="center"/>
          </w:tcPr>
          <w:p>
            <w:pPr>
              <w:spacing w:after="0" w:line="247" w:lineRule="auto"/>
            </w:pPr>
            <w:r>
              <w:rPr>
                <w:rFonts w:ascii="Arial" w:hAnsi="Arial"/>
                <w:b w:val="0"/>
                <w:color w:val="1F2937"/>
                <w:sz w:val="17"/>
              </w:rPr>
              <w:t>Retries must be bounded and safe; dead letters, reconciliation and manual replay must exist for provider and workflow failures.</w:t>
            </w:r>
          </w:p>
        </w:tc>
      </w:tr>
      <w:tr>
        <w:tc>
          <w:tcPr>
            <w:tcW w:type="dxa" w:w="1080"/>
            <w:tcMar>
              <w:top w:w="90" w:type="dxa"/>
              <w:start w:w="100" w:type="dxa"/>
              <w:bottom w:w="90" w:type="dxa"/>
              <w:end w:w="100" w:type="dxa"/>
            </w:tcMar>
            <w:vAlign w:val="center"/>
            <w:shd w:fill="FAFBFC"/>
          </w:tcPr>
          <w:p>
            <w:pPr>
              <w:spacing w:after="0" w:line="247" w:lineRule="auto"/>
            </w:pPr>
            <w:r>
              <w:rPr>
                <w:rFonts w:ascii="Arial" w:hAnsi="Arial"/>
                <w:b/>
                <w:color w:val="1F2937"/>
                <w:sz w:val="17"/>
              </w:rPr>
              <w:t>NFR-14</w:t>
            </w:r>
          </w:p>
        </w:tc>
        <w:tc>
          <w:tcPr>
            <w:tcW w:type="dxa" w:w="2160"/>
            <w:tcMar>
              <w:top w:w="90" w:type="dxa"/>
              <w:start w:w="100" w:type="dxa"/>
              <w:bottom w:w="90" w:type="dxa"/>
              <w:end w:w="100" w:type="dxa"/>
            </w:tcMar>
            <w:vAlign w:val="center"/>
            <w:shd w:fill="FAFBFC"/>
          </w:tcPr>
          <w:p>
            <w:pPr>
              <w:spacing w:after="0" w:line="247" w:lineRule="auto"/>
            </w:pPr>
            <w:r>
              <w:rPr>
                <w:rFonts w:ascii="Arial" w:hAnsi="Arial"/>
                <w:b w:val="0"/>
                <w:color w:val="1F2937"/>
                <w:sz w:val="17"/>
              </w:rPr>
              <w:t>Maintainability</w:t>
            </w:r>
          </w:p>
        </w:tc>
        <w:tc>
          <w:tcPr>
            <w:tcW w:type="dxa" w:w="6696"/>
            <w:tcMar>
              <w:top w:w="90" w:type="dxa"/>
              <w:start w:w="100" w:type="dxa"/>
              <w:bottom w:w="90" w:type="dxa"/>
              <w:end w:w="100" w:type="dxa"/>
            </w:tcMar>
            <w:vAlign w:val="center"/>
            <w:shd w:fill="FAFBFC"/>
          </w:tcPr>
          <w:p>
            <w:pPr>
              <w:spacing w:after="0" w:line="247" w:lineRule="auto"/>
            </w:pPr>
            <w:r>
              <w:rPr>
                <w:rFonts w:ascii="Arial" w:hAnsi="Arial"/>
                <w:b w:val="0"/>
                <w:color w:val="1F2937"/>
                <w:sz w:val="17"/>
              </w:rPr>
              <w:t>New knowledge categories, languages, tools, reports and provider fields should be configurable without redesigning the core platform.</w:t>
            </w:r>
          </w:p>
        </w:tc>
      </w:tr>
      <w:tr>
        <w:tc>
          <w:tcPr>
            <w:tcW w:type="dxa" w:w="1080"/>
            <w:tcMar>
              <w:top w:w="90" w:type="dxa"/>
              <w:start w:w="100" w:type="dxa"/>
              <w:bottom w:w="90" w:type="dxa"/>
              <w:end w:w="100" w:type="dxa"/>
            </w:tcMar>
            <w:vAlign w:val="center"/>
          </w:tcPr>
          <w:p>
            <w:pPr>
              <w:spacing w:after="0" w:line="247" w:lineRule="auto"/>
            </w:pPr>
            <w:r>
              <w:rPr>
                <w:rFonts w:ascii="Arial" w:hAnsi="Arial"/>
                <w:b/>
                <w:color w:val="1F2937"/>
                <w:sz w:val="17"/>
              </w:rPr>
              <w:t>NFR-15</w:t>
            </w:r>
          </w:p>
        </w:tc>
        <w:tc>
          <w:tcPr>
            <w:tcW w:type="dxa" w:w="2160"/>
            <w:tcMar>
              <w:top w:w="90" w:type="dxa"/>
              <w:start w:w="100" w:type="dxa"/>
              <w:bottom w:w="90" w:type="dxa"/>
              <w:end w:w="100" w:type="dxa"/>
            </w:tcMar>
            <w:vAlign w:val="center"/>
          </w:tcPr>
          <w:p>
            <w:pPr>
              <w:spacing w:after="0" w:line="247" w:lineRule="auto"/>
            </w:pPr>
            <w:r>
              <w:rPr>
                <w:rFonts w:ascii="Arial" w:hAnsi="Arial"/>
                <w:b w:val="0"/>
                <w:color w:val="1F2937"/>
                <w:sz w:val="17"/>
              </w:rPr>
              <w:t>Data quality</w:t>
            </w:r>
          </w:p>
        </w:tc>
        <w:tc>
          <w:tcPr>
            <w:tcW w:type="dxa" w:w="6696"/>
            <w:tcMar>
              <w:top w:w="90" w:type="dxa"/>
              <w:start w:w="100" w:type="dxa"/>
              <w:bottom w:w="90" w:type="dxa"/>
              <w:end w:w="100" w:type="dxa"/>
            </w:tcMar>
            <w:vAlign w:val="center"/>
          </w:tcPr>
          <w:p>
            <w:pPr>
              <w:spacing w:after="0" w:line="247" w:lineRule="auto"/>
            </w:pPr>
            <w:r>
              <w:rPr>
                <w:rFonts w:ascii="Arial" w:hAnsi="Arial"/>
                <w:b w:val="0"/>
                <w:color w:val="1F2937"/>
                <w:sz w:val="17"/>
              </w:rPr>
              <w:t>Canonical records must retain provenance, confidence, source version and correction history.</w:t>
            </w:r>
          </w:p>
        </w:tc>
      </w:tr>
      <w:tr>
        <w:tc>
          <w:tcPr>
            <w:tcW w:type="dxa" w:w="1080"/>
            <w:tcMar>
              <w:top w:w="90" w:type="dxa"/>
              <w:start w:w="100" w:type="dxa"/>
              <w:bottom w:w="90" w:type="dxa"/>
              <w:end w:w="100" w:type="dxa"/>
            </w:tcMar>
            <w:vAlign w:val="center"/>
            <w:shd w:fill="FAFBFC"/>
          </w:tcPr>
          <w:p>
            <w:pPr>
              <w:spacing w:after="0" w:line="247" w:lineRule="auto"/>
            </w:pPr>
            <w:r>
              <w:rPr>
                <w:rFonts w:ascii="Arial" w:hAnsi="Arial"/>
                <w:b/>
                <w:color w:val="1F2937"/>
                <w:sz w:val="17"/>
              </w:rPr>
              <w:t>NFR-16</w:t>
            </w:r>
          </w:p>
        </w:tc>
        <w:tc>
          <w:tcPr>
            <w:tcW w:type="dxa" w:w="2160"/>
            <w:tcMar>
              <w:top w:w="90" w:type="dxa"/>
              <w:start w:w="100" w:type="dxa"/>
              <w:bottom w:w="90" w:type="dxa"/>
              <w:end w:w="100" w:type="dxa"/>
            </w:tcMar>
            <w:vAlign w:val="center"/>
            <w:shd w:fill="FAFBFC"/>
          </w:tcPr>
          <w:p>
            <w:pPr>
              <w:spacing w:after="0" w:line="247" w:lineRule="auto"/>
            </w:pPr>
            <w:r>
              <w:rPr>
                <w:rFonts w:ascii="Arial" w:hAnsi="Arial"/>
                <w:b w:val="0"/>
                <w:color w:val="1F2937"/>
                <w:sz w:val="17"/>
              </w:rPr>
              <w:t>Cost control</w:t>
            </w:r>
          </w:p>
        </w:tc>
        <w:tc>
          <w:tcPr>
            <w:tcW w:type="dxa" w:w="6696"/>
            <w:tcMar>
              <w:top w:w="90" w:type="dxa"/>
              <w:start w:w="100" w:type="dxa"/>
              <w:bottom w:w="90" w:type="dxa"/>
              <w:end w:w="100" w:type="dxa"/>
            </w:tcMar>
            <w:vAlign w:val="center"/>
            <w:shd w:fill="FAFBFC"/>
          </w:tcPr>
          <w:p>
            <w:pPr>
              <w:spacing w:after="0" w:line="247" w:lineRule="auto"/>
            </w:pPr>
            <w:r>
              <w:rPr>
                <w:rFonts w:ascii="Arial" w:hAnsi="Arial"/>
                <w:b w:val="0"/>
                <w:color w:val="1F2937"/>
                <w:sz w:val="17"/>
              </w:rPr>
              <w:t>Usage, credits, call minutes, tests, messages, storage and enrichment cost must be measurable and alertable.</w:t>
            </w:r>
          </w:p>
        </w:tc>
      </w:tr>
      <w:tr>
        <w:tc>
          <w:tcPr>
            <w:tcW w:type="dxa" w:w="1080"/>
            <w:tcMar>
              <w:top w:w="90" w:type="dxa"/>
              <w:start w:w="100" w:type="dxa"/>
              <w:bottom w:w="90" w:type="dxa"/>
              <w:end w:w="100" w:type="dxa"/>
            </w:tcMar>
            <w:vAlign w:val="center"/>
          </w:tcPr>
          <w:p>
            <w:pPr>
              <w:spacing w:after="0" w:line="247" w:lineRule="auto"/>
            </w:pPr>
            <w:r>
              <w:rPr>
                <w:rFonts w:ascii="Arial" w:hAnsi="Arial"/>
                <w:b/>
                <w:color w:val="1F2937"/>
                <w:sz w:val="17"/>
              </w:rPr>
              <w:t>NFR-17</w:t>
            </w:r>
          </w:p>
        </w:tc>
        <w:tc>
          <w:tcPr>
            <w:tcW w:type="dxa" w:w="2160"/>
            <w:tcMar>
              <w:top w:w="90" w:type="dxa"/>
              <w:start w:w="100" w:type="dxa"/>
              <w:bottom w:w="90" w:type="dxa"/>
              <w:end w:w="100" w:type="dxa"/>
            </w:tcMar>
            <w:vAlign w:val="center"/>
          </w:tcPr>
          <w:p>
            <w:pPr>
              <w:spacing w:after="0" w:line="247" w:lineRule="auto"/>
            </w:pPr>
            <w:r>
              <w:rPr>
                <w:rFonts w:ascii="Arial" w:hAnsi="Arial"/>
                <w:b w:val="0"/>
                <w:color w:val="1F2937"/>
                <w:sz w:val="17"/>
              </w:rPr>
              <w:t>Disaster recovery</w:t>
            </w:r>
          </w:p>
        </w:tc>
        <w:tc>
          <w:tcPr>
            <w:tcW w:type="dxa" w:w="6696"/>
            <w:tcMar>
              <w:top w:w="90" w:type="dxa"/>
              <w:start w:w="100" w:type="dxa"/>
              <w:bottom w:w="90" w:type="dxa"/>
              <w:end w:w="100" w:type="dxa"/>
            </w:tcMar>
            <w:vAlign w:val="center"/>
          </w:tcPr>
          <w:p>
            <w:pPr>
              <w:spacing w:after="0" w:line="247" w:lineRule="auto"/>
            </w:pPr>
            <w:r>
              <w:rPr>
                <w:rFonts w:ascii="Arial" w:hAnsi="Arial"/>
                <w:b w:val="0"/>
                <w:color w:val="1F2937"/>
                <w:sz w:val="17"/>
              </w:rPr>
              <w:t>The platform requires tested database backup/restore, object retention, infrastructure recovery and documented RPO/RTO targets.</w:t>
            </w:r>
          </w:p>
        </w:tc>
      </w:tr>
      <w:tr>
        <w:tc>
          <w:tcPr>
            <w:tcW w:type="dxa" w:w="1080"/>
            <w:tcMar>
              <w:top w:w="90" w:type="dxa"/>
              <w:start w:w="100" w:type="dxa"/>
              <w:bottom w:w="90" w:type="dxa"/>
              <w:end w:w="100" w:type="dxa"/>
            </w:tcMar>
            <w:vAlign w:val="center"/>
            <w:shd w:fill="FAFBFC"/>
          </w:tcPr>
          <w:p>
            <w:pPr>
              <w:spacing w:after="0" w:line="247" w:lineRule="auto"/>
            </w:pPr>
            <w:r>
              <w:rPr>
                <w:rFonts w:ascii="Arial" w:hAnsi="Arial"/>
                <w:b/>
                <w:color w:val="1F2937"/>
                <w:sz w:val="17"/>
              </w:rPr>
              <w:t>NFR-18</w:t>
            </w:r>
          </w:p>
        </w:tc>
        <w:tc>
          <w:tcPr>
            <w:tcW w:type="dxa" w:w="2160"/>
            <w:tcMar>
              <w:top w:w="90" w:type="dxa"/>
              <w:start w:w="100" w:type="dxa"/>
              <w:bottom w:w="90" w:type="dxa"/>
              <w:end w:w="100" w:type="dxa"/>
            </w:tcMar>
            <w:vAlign w:val="center"/>
            <w:shd w:fill="FAFBFC"/>
          </w:tcPr>
          <w:p>
            <w:pPr>
              <w:spacing w:after="0" w:line="247" w:lineRule="auto"/>
            </w:pPr>
            <w:r>
              <w:rPr>
                <w:rFonts w:ascii="Arial" w:hAnsi="Arial"/>
                <w:b w:val="0"/>
                <w:color w:val="1F2937"/>
                <w:sz w:val="17"/>
              </w:rPr>
              <w:t>Vendor evolution</w:t>
            </w:r>
          </w:p>
        </w:tc>
        <w:tc>
          <w:tcPr>
            <w:tcW w:type="dxa" w:w="6696"/>
            <w:tcMar>
              <w:top w:w="90" w:type="dxa"/>
              <w:start w:w="100" w:type="dxa"/>
              <w:bottom w:w="90" w:type="dxa"/>
              <w:end w:w="100" w:type="dxa"/>
            </w:tcMar>
            <w:vAlign w:val="center"/>
            <w:shd w:fill="FAFBFC"/>
          </w:tcPr>
          <w:p>
            <w:pPr>
              <w:spacing w:after="0" w:line="247" w:lineRule="auto"/>
            </w:pPr>
            <w:r>
              <w:rPr>
                <w:rFonts w:ascii="Arial" w:hAnsi="Arial"/>
                <w:b w:val="0"/>
                <w:color w:val="1F2937"/>
                <w:sz w:val="17"/>
              </w:rPr>
              <w:t>Provider SDK, endpoint and payload changes must be isolated behind an adapter and schema-tolerant webhook layer.</w:t>
            </w:r>
          </w:p>
        </w:tc>
      </w:tr>
    </w:tbl>
    <w:p>
      <w:pPr>
        <w:spacing w:after="40"/>
      </w:pPr>
    </w:p>
    <w:p>
      <w:pPr>
        <w:pStyle w:val="Heading2"/>
        <w:keepNext/>
      </w:pPr>
      <w:r>
        <w:rPr>
          <w:rFonts w:ascii="Arial" w:hAnsi="Arial"/>
        </w:rPr>
        <w:t>8.1 Provisional production quality gates</w:t>
      </w:r>
    </w:p>
    <w:p>
      <w:pPr>
        <w:pStyle w:val="ListBullet"/>
        <w:spacing w:before="0" w:after="60" w:line="259" w:lineRule="auto"/>
      </w:pPr>
      <w:r>
        <w:rPr>
          <w:rFonts w:ascii="Arial" w:hAnsi="Arial"/>
          <w:sz w:val="20"/>
        </w:rPr>
        <w:t>100% of required safety, sensitive-routing and prohibited-action test scenarios pass before production activation.</w:t>
      </w:r>
    </w:p>
    <w:p>
      <w:pPr>
        <w:pStyle w:val="ListBullet"/>
        <w:spacing w:before="0" w:after="60" w:line="259" w:lineRule="auto"/>
      </w:pPr>
      <w:r>
        <w:rPr>
          <w:rFonts w:ascii="Arial" w:hAnsi="Arial"/>
          <w:sz w:val="20"/>
        </w:rPr>
        <w:t>100% of active knowledge and agent versions have valid approval and synchronization evidence.</w:t>
      </w:r>
    </w:p>
    <w:p>
      <w:pPr>
        <w:pStyle w:val="ListBullet"/>
        <w:spacing w:before="0" w:after="60" w:line="259" w:lineRule="auto"/>
      </w:pPr>
      <w:r>
        <w:rPr>
          <w:rFonts w:ascii="Arial" w:hAnsi="Arial"/>
          <w:sz w:val="20"/>
        </w:rPr>
        <w:t>No unresolved critical or high security findings.</w:t>
      </w:r>
    </w:p>
    <w:p>
      <w:pPr>
        <w:pStyle w:val="ListBullet"/>
        <w:spacing w:before="0" w:after="60" w:line="259" w:lineRule="auto"/>
      </w:pPr>
      <w:r>
        <w:rPr>
          <w:rFonts w:ascii="Arial" w:hAnsi="Arial"/>
          <w:sz w:val="20"/>
        </w:rPr>
        <w:t>No production dependency references synthetic, sandbox, draft, inactive or unapproved data.</w:t>
      </w:r>
    </w:p>
    <w:p>
      <w:pPr>
        <w:pStyle w:val="ListBullet"/>
        <w:spacing w:before="0" w:after="60" w:line="259" w:lineRule="auto"/>
      </w:pPr>
      <w:r>
        <w:rPr>
          <w:rFonts w:ascii="Arial" w:hAnsi="Arial"/>
          <w:sz w:val="20"/>
        </w:rPr>
        <w:t>At least 90% correct and complete responses on the approved Portuguese and English launch test set, with no critical policy error; threshold requires stakeholder approval.</w:t>
      </w:r>
    </w:p>
    <w:p>
      <w:pPr>
        <w:pStyle w:val="ListBullet"/>
        <w:spacing w:before="0" w:after="60" w:line="259" w:lineRule="auto"/>
      </w:pPr>
      <w:r>
        <w:rPr>
          <w:rFonts w:ascii="Arial" w:hAnsi="Arial"/>
          <w:sz w:val="20"/>
        </w:rPr>
        <w:t>At least 95% successful post-call artifact completion in controlled tests.</w:t>
      </w:r>
    </w:p>
    <w:p>
      <w:pPr>
        <w:pStyle w:val="ListBullet"/>
        <w:spacing w:before="0" w:after="60" w:line="259" w:lineRule="auto"/>
      </w:pPr>
      <w:r>
        <w:rPr>
          <w:rFonts w:ascii="Arial" w:hAnsi="Arial"/>
          <w:sz w:val="20"/>
        </w:rPr>
        <w:t>Webhook replay, duplicate, out-of-order and provider-outage tests pass.</w:t>
      </w:r>
    </w:p>
    <w:p>
      <w:pPr>
        <w:pStyle w:val="Heading1"/>
        <w:keepNext/>
        <w:pageBreakBefore w:val="0"/>
      </w:pPr>
      <w:r>
        <w:rPr>
          <w:rFonts w:ascii="Arial" w:hAnsi="Arial"/>
        </w:rPr>
        <w:t>9  Data and information architecture</w:t>
      </w:r>
    </w:p>
    <w:p>
      <w:pPr>
        <w:pStyle w:val="Heading2"/>
        <w:keepNext/>
      </w:pPr>
      <w:r>
        <w:rPr>
          <w:rFonts w:ascii="Arial" w:hAnsi="Arial"/>
        </w:rPr>
        <w:t>9.1 Canonical data strategy</w:t>
      </w:r>
    </w:p>
    <w:p>
      <w:pPr>
        <w:spacing w:before="0" w:after="120" w:line="259" w:lineRule="auto"/>
      </w:pPr>
      <w:r>
        <w:rPr>
          <w:rFonts w:ascii="Arial" w:hAnsi="Arial"/>
          <w:i w:val="0"/>
        </w:rPr>
        <w:t>The platform stores the provider payload and the Quantum Parks interpretation as separate layers. This preserves evidence while allowing correction and enrichment without rewriting the source. Every enriched artifact retains the model, prompt, taxonomy, knowledge, agent and provider versions used to create it.</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2016"/>
        <w:gridCol w:w="3384"/>
        <w:gridCol w:w="4536"/>
      </w:tblGrid>
      <w:tr>
        <w:trPr>
          <w:tblHeader w:val="true"/>
        </w:trPr>
        <w:tc>
          <w:tcPr>
            <w:tcW w:type="dxa" w:w="2015"/>
            <w:shd w:fill="12304A"/>
            <w:tcMar>
              <w:top w:w="100" w:type="dxa"/>
              <w:start w:w="100" w:type="dxa"/>
              <w:bottom w:w="100" w:type="dxa"/>
              <w:end w:w="100" w:type="dxa"/>
            </w:tcMar>
            <w:vAlign w:val="center"/>
          </w:tcPr>
          <w:p>
            <w:pPr>
              <w:spacing w:after="0"/>
              <w:jc w:val="center"/>
            </w:pPr>
            <w:r>
              <w:rPr>
                <w:rFonts w:ascii="Arial" w:hAnsi="Arial"/>
                <w:b/>
                <w:color w:val="FFFFFF"/>
                <w:sz w:val="18"/>
              </w:rPr>
              <w:t>Data layer</w:t>
            </w:r>
          </w:p>
        </w:tc>
        <w:tc>
          <w:tcPr>
            <w:tcW w:type="dxa" w:w="3384"/>
            <w:shd w:fill="12304A"/>
            <w:tcMar>
              <w:top w:w="100" w:type="dxa"/>
              <w:start w:w="100" w:type="dxa"/>
              <w:bottom w:w="100" w:type="dxa"/>
              <w:end w:w="100" w:type="dxa"/>
            </w:tcMar>
            <w:vAlign w:val="center"/>
          </w:tcPr>
          <w:p>
            <w:pPr>
              <w:spacing w:after="0"/>
              <w:jc w:val="center"/>
            </w:pPr>
            <w:r>
              <w:rPr>
                <w:rFonts w:ascii="Arial" w:hAnsi="Arial"/>
                <w:b/>
                <w:color w:val="FFFFFF"/>
                <w:sz w:val="18"/>
              </w:rPr>
              <w:t>Purpose</w:t>
            </w:r>
          </w:p>
        </w:tc>
        <w:tc>
          <w:tcPr>
            <w:tcW w:type="dxa" w:w="4536"/>
            <w:shd w:fill="12304A"/>
            <w:tcMar>
              <w:top w:w="100" w:type="dxa"/>
              <w:start w:w="100" w:type="dxa"/>
              <w:bottom w:w="100" w:type="dxa"/>
              <w:end w:w="100" w:type="dxa"/>
            </w:tcMar>
            <w:vAlign w:val="center"/>
          </w:tcPr>
          <w:p>
            <w:pPr>
              <w:spacing w:after="0"/>
              <w:jc w:val="center"/>
            </w:pPr>
            <w:r>
              <w:rPr>
                <w:rFonts w:ascii="Arial" w:hAnsi="Arial"/>
                <w:b/>
                <w:color w:val="FFFFFF"/>
                <w:sz w:val="18"/>
              </w:rPr>
              <w:t>Examples</w:t>
            </w:r>
          </w:p>
        </w:tc>
      </w:tr>
      <w:tr>
        <w:tc>
          <w:tcPr>
            <w:tcW w:type="dxa" w:w="2015"/>
            <w:tcMar>
              <w:top w:w="90" w:type="dxa"/>
              <w:start w:w="100" w:type="dxa"/>
              <w:bottom w:w="90" w:type="dxa"/>
              <w:end w:w="100" w:type="dxa"/>
            </w:tcMar>
            <w:vAlign w:val="center"/>
          </w:tcPr>
          <w:p>
            <w:pPr>
              <w:spacing w:after="0" w:line="247" w:lineRule="auto"/>
            </w:pPr>
            <w:r>
              <w:rPr>
                <w:rFonts w:ascii="Arial" w:hAnsi="Arial"/>
                <w:b/>
                <w:color w:val="1F2937"/>
                <w:sz w:val="17"/>
              </w:rPr>
              <w:t>Raw provider evidence</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7"/>
              </w:rPr>
              <w:t>Immutable record of what ElevenLabs delivered</w:t>
            </w:r>
          </w:p>
        </w:tc>
        <w:tc>
          <w:tcPr>
            <w:tcW w:type="dxa" w:w="4536"/>
            <w:tcMar>
              <w:top w:w="90" w:type="dxa"/>
              <w:start w:w="100" w:type="dxa"/>
              <w:bottom w:w="90" w:type="dxa"/>
              <w:end w:w="100" w:type="dxa"/>
            </w:tcMar>
            <w:vAlign w:val="center"/>
          </w:tcPr>
          <w:p>
            <w:pPr>
              <w:spacing w:after="0" w:line="247" w:lineRule="auto"/>
            </w:pPr>
            <w:r>
              <w:rPr>
                <w:rFonts w:ascii="Arial" w:hAnsi="Arial"/>
                <w:b w:val="0"/>
                <w:color w:val="1F2937"/>
                <w:sz w:val="17"/>
              </w:rPr>
              <w:t>Webhook body, conversation ID, agent/version IDs, transcript turns, metadata, analysis, audio availability</w:t>
            </w:r>
          </w:p>
        </w:tc>
      </w:tr>
      <w:tr>
        <w:tc>
          <w:tcPr>
            <w:tcW w:type="dxa" w:w="2015"/>
            <w:tcMar>
              <w:top w:w="90" w:type="dxa"/>
              <w:start w:w="100" w:type="dxa"/>
              <w:bottom w:w="90" w:type="dxa"/>
              <w:end w:w="100" w:type="dxa"/>
            </w:tcMar>
            <w:vAlign w:val="center"/>
            <w:shd w:fill="FAFBFC"/>
          </w:tcPr>
          <w:p>
            <w:pPr>
              <w:spacing w:after="0" w:line="247" w:lineRule="auto"/>
            </w:pPr>
            <w:r>
              <w:rPr>
                <w:rFonts w:ascii="Arial" w:hAnsi="Arial"/>
                <w:b/>
                <w:color w:val="1F2937"/>
                <w:sz w:val="17"/>
              </w:rPr>
              <w:t>Canonical operational record</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7"/>
              </w:rPr>
              <w:t>Normalized, secured representation used by the application</w:t>
            </w:r>
          </w:p>
        </w:tc>
        <w:tc>
          <w:tcPr>
            <w:tcW w:type="dxa" w:w="4536"/>
            <w:tcMar>
              <w:top w:w="90" w:type="dxa"/>
              <w:start w:w="100" w:type="dxa"/>
              <w:bottom w:w="90" w:type="dxa"/>
              <w:end w:w="100" w:type="dxa"/>
            </w:tcMar>
            <w:vAlign w:val="center"/>
            <w:shd w:fill="FAFBFC"/>
          </w:tcPr>
          <w:p>
            <w:pPr>
              <w:spacing w:after="0" w:line="247" w:lineRule="auto"/>
            </w:pPr>
            <w:r>
              <w:rPr>
                <w:rFonts w:ascii="Arial" w:hAnsi="Arial"/>
                <w:b w:val="0"/>
                <w:color w:val="1F2937"/>
                <w:sz w:val="17"/>
              </w:rPr>
              <w:t>Conversation, transcript turns, tool events, handoff, messages, processing state</w:t>
            </w:r>
          </w:p>
        </w:tc>
      </w:tr>
      <w:tr>
        <w:tc>
          <w:tcPr>
            <w:tcW w:type="dxa" w:w="2015"/>
            <w:tcMar>
              <w:top w:w="90" w:type="dxa"/>
              <w:start w:w="100" w:type="dxa"/>
              <w:bottom w:w="90" w:type="dxa"/>
              <w:end w:w="100" w:type="dxa"/>
            </w:tcMar>
            <w:vAlign w:val="center"/>
          </w:tcPr>
          <w:p>
            <w:pPr>
              <w:spacing w:after="0" w:line="247" w:lineRule="auto"/>
            </w:pPr>
            <w:r>
              <w:rPr>
                <w:rFonts w:ascii="Arial" w:hAnsi="Arial"/>
                <w:b/>
                <w:color w:val="1F2937"/>
                <w:sz w:val="17"/>
              </w:rPr>
              <w:t>Intelligence layer</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7"/>
              </w:rPr>
              <w:t>Quantum Parks-generated interpretation</w:t>
            </w:r>
          </w:p>
        </w:tc>
        <w:tc>
          <w:tcPr>
            <w:tcW w:type="dxa" w:w="4536"/>
            <w:tcMar>
              <w:top w:w="90" w:type="dxa"/>
              <w:start w:w="100" w:type="dxa"/>
              <w:bottom w:w="90" w:type="dxa"/>
              <w:end w:w="100" w:type="dxa"/>
            </w:tcMar>
            <w:vAlign w:val="center"/>
          </w:tcPr>
          <w:p>
            <w:pPr>
              <w:spacing w:after="0" w:line="247" w:lineRule="auto"/>
            </w:pPr>
            <w:r>
              <w:rPr>
                <w:rFonts w:ascii="Arial" w:hAnsi="Arial"/>
                <w:b w:val="0"/>
                <w:color w:val="1F2937"/>
                <w:sz w:val="17"/>
              </w:rPr>
              <w:t>Summary, intent, topics, entities, outcome, knowledge gap, sentiment indicator, QA score</w:t>
            </w:r>
          </w:p>
        </w:tc>
      </w:tr>
      <w:tr>
        <w:tc>
          <w:tcPr>
            <w:tcW w:type="dxa" w:w="2015"/>
            <w:tcMar>
              <w:top w:w="90" w:type="dxa"/>
              <w:start w:w="100" w:type="dxa"/>
              <w:bottom w:w="90" w:type="dxa"/>
              <w:end w:w="100" w:type="dxa"/>
            </w:tcMar>
            <w:vAlign w:val="center"/>
            <w:shd w:fill="FAFBFC"/>
          </w:tcPr>
          <w:p>
            <w:pPr>
              <w:spacing w:after="0" w:line="247" w:lineRule="auto"/>
            </w:pPr>
            <w:r>
              <w:rPr>
                <w:rFonts w:ascii="Arial" w:hAnsi="Arial"/>
                <w:b/>
                <w:color w:val="1F2937"/>
                <w:sz w:val="17"/>
              </w:rPr>
              <w:t>Customer timeline</w:t>
            </w:r>
          </w:p>
        </w:tc>
        <w:tc>
          <w:tcPr>
            <w:tcW w:type="dxa" w:w="3384"/>
            <w:tcMar>
              <w:top w:w="90" w:type="dxa"/>
              <w:start w:w="100" w:type="dxa"/>
              <w:bottom w:w="90" w:type="dxa"/>
              <w:end w:w="100" w:type="dxa"/>
            </w:tcMar>
            <w:vAlign w:val="center"/>
            <w:shd w:fill="FAFBFC"/>
          </w:tcPr>
          <w:p>
            <w:pPr>
              <w:spacing w:after="0" w:line="247" w:lineRule="auto"/>
            </w:pPr>
            <w:r>
              <w:rPr>
                <w:rFonts w:ascii="Arial" w:hAnsi="Arial"/>
                <w:b w:val="0"/>
                <w:color w:val="1F2937"/>
                <w:sz w:val="17"/>
              </w:rPr>
              <w:t>Cross-call and cross-channel history</w:t>
            </w:r>
          </w:p>
        </w:tc>
        <w:tc>
          <w:tcPr>
            <w:tcW w:type="dxa" w:w="4536"/>
            <w:tcMar>
              <w:top w:w="90" w:type="dxa"/>
              <w:start w:w="100" w:type="dxa"/>
              <w:bottom w:w="90" w:type="dxa"/>
              <w:end w:w="100" w:type="dxa"/>
            </w:tcMar>
            <w:vAlign w:val="center"/>
            <w:shd w:fill="FAFBFC"/>
          </w:tcPr>
          <w:p>
            <w:pPr>
              <w:spacing w:after="0" w:line="247" w:lineRule="auto"/>
            </w:pPr>
            <w:r>
              <w:rPr>
                <w:rFonts w:ascii="Arial" w:hAnsi="Arial"/>
                <w:b w:val="0"/>
                <w:color w:val="1F2937"/>
                <w:sz w:val="17"/>
              </w:rPr>
              <w:t>Customer-call link, booking snapshot, support context, repeat-contact indicator, tasks and callbacks</w:t>
            </w:r>
          </w:p>
        </w:tc>
      </w:tr>
      <w:tr>
        <w:tc>
          <w:tcPr>
            <w:tcW w:type="dxa" w:w="2015"/>
            <w:tcMar>
              <w:top w:w="90" w:type="dxa"/>
              <w:start w:w="100" w:type="dxa"/>
              <w:bottom w:w="90" w:type="dxa"/>
              <w:end w:w="100" w:type="dxa"/>
            </w:tcMar>
            <w:vAlign w:val="center"/>
          </w:tcPr>
          <w:p>
            <w:pPr>
              <w:spacing w:after="0" w:line="247" w:lineRule="auto"/>
            </w:pPr>
            <w:r>
              <w:rPr>
                <w:rFonts w:ascii="Arial" w:hAnsi="Arial"/>
                <w:b/>
                <w:color w:val="1F2937"/>
                <w:sz w:val="17"/>
              </w:rPr>
              <w:t>Aggregate/reporting layer</w:t>
            </w:r>
          </w:p>
        </w:tc>
        <w:tc>
          <w:tcPr>
            <w:tcW w:type="dxa" w:w="3384"/>
            <w:tcMar>
              <w:top w:w="90" w:type="dxa"/>
              <w:start w:w="100" w:type="dxa"/>
              <w:bottom w:w="90" w:type="dxa"/>
              <w:end w:w="100" w:type="dxa"/>
            </w:tcMar>
            <w:vAlign w:val="center"/>
          </w:tcPr>
          <w:p>
            <w:pPr>
              <w:spacing w:after="0" w:line="247" w:lineRule="auto"/>
            </w:pPr>
            <w:r>
              <w:rPr>
                <w:rFonts w:ascii="Arial" w:hAnsi="Arial"/>
                <w:b w:val="0"/>
                <w:color w:val="1F2937"/>
                <w:sz w:val="17"/>
              </w:rPr>
              <w:t>Efficient trend and management analysis</w:t>
            </w:r>
          </w:p>
        </w:tc>
        <w:tc>
          <w:tcPr>
            <w:tcW w:type="dxa" w:w="4536"/>
            <w:tcMar>
              <w:top w:w="90" w:type="dxa"/>
              <w:start w:w="100" w:type="dxa"/>
              <w:bottom w:w="90" w:type="dxa"/>
              <w:end w:w="100" w:type="dxa"/>
            </w:tcMar>
            <w:vAlign w:val="center"/>
          </w:tcPr>
          <w:p>
            <w:pPr>
              <w:spacing w:after="0" w:line="247" w:lineRule="auto"/>
            </w:pPr>
            <w:r>
              <w:rPr>
                <w:rFonts w:ascii="Arial" w:hAnsi="Arial"/>
                <w:b w:val="0"/>
                <w:color w:val="1F2937"/>
                <w:sz w:val="17"/>
              </w:rPr>
              <w:t>Daily facts, park/language/intent aggregates, provider performance, knowledge performance, cost</w:t>
            </w:r>
          </w:p>
        </w:tc>
      </w:tr>
    </w:tbl>
    <w:p>
      <w:pPr>
        <w:spacing w:after="40"/>
      </w:pPr>
    </w:p>
    <w:p>
      <w:pPr>
        <w:pStyle w:val="Heading2"/>
        <w:keepNext/>
      </w:pPr>
      <w:r>
        <w:rPr>
          <w:rFonts w:ascii="Arial" w:hAnsi="Arial"/>
        </w:rPr>
        <w:t>9.2 Core entities</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4032"/>
        <w:gridCol w:w="5904"/>
      </w:tblGrid>
      <w:tr>
        <w:trPr>
          <w:tblHeader w:val="true"/>
        </w:trPr>
        <w:tc>
          <w:tcPr>
            <w:tcW w:type="dxa" w:w="4031"/>
            <w:shd w:fill="12304A"/>
            <w:tcMar>
              <w:top w:w="100" w:type="dxa"/>
              <w:start w:w="100" w:type="dxa"/>
              <w:bottom w:w="100" w:type="dxa"/>
              <w:end w:w="100" w:type="dxa"/>
            </w:tcMar>
            <w:vAlign w:val="center"/>
          </w:tcPr>
          <w:p>
            <w:pPr>
              <w:spacing w:after="0"/>
              <w:jc w:val="center"/>
            </w:pPr>
            <w:r>
              <w:rPr>
                <w:rFonts w:ascii="Arial" w:hAnsi="Arial"/>
                <w:b/>
                <w:color w:val="FFFFFF"/>
                <w:sz w:val="18"/>
              </w:rPr>
              <w:t>Entity group</w:t>
            </w:r>
          </w:p>
        </w:tc>
        <w:tc>
          <w:tcPr>
            <w:tcW w:type="dxa" w:w="5903"/>
            <w:shd w:fill="12304A"/>
            <w:tcMar>
              <w:top w:w="100" w:type="dxa"/>
              <w:start w:w="100" w:type="dxa"/>
              <w:bottom w:w="100" w:type="dxa"/>
              <w:end w:w="100" w:type="dxa"/>
            </w:tcMar>
            <w:vAlign w:val="center"/>
          </w:tcPr>
          <w:p>
            <w:pPr>
              <w:spacing w:after="0"/>
              <w:jc w:val="center"/>
            </w:pPr>
            <w:r>
              <w:rPr>
                <w:rFonts w:ascii="Arial" w:hAnsi="Arial"/>
                <w:b/>
                <w:color w:val="FFFFFF"/>
                <w:sz w:val="18"/>
              </w:rPr>
              <w:t>Purpose</w:t>
            </w:r>
          </w:p>
        </w:tc>
      </w:tr>
      <w:tr>
        <w:tc>
          <w:tcPr>
            <w:tcW w:type="dxa" w:w="4031"/>
            <w:tcMar>
              <w:top w:w="90" w:type="dxa"/>
              <w:start w:w="100" w:type="dxa"/>
              <w:bottom w:w="90" w:type="dxa"/>
              <w:end w:w="100" w:type="dxa"/>
            </w:tcMar>
            <w:vAlign w:val="center"/>
          </w:tcPr>
          <w:p>
            <w:pPr>
              <w:spacing w:after="0" w:line="247" w:lineRule="auto"/>
            </w:pPr>
            <w:r>
              <w:rPr>
                <w:rFonts w:ascii="Arial" w:hAnsi="Arial"/>
                <w:b/>
                <w:color w:val="1F2937"/>
                <w:sz w:val="17"/>
              </w:rPr>
              <w:t>ProviderWorkspace / ProviderCredential</w:t>
            </w:r>
          </w:p>
        </w:tc>
        <w:tc>
          <w:tcPr>
            <w:tcW w:type="dxa" w:w="5903"/>
            <w:tcMar>
              <w:top w:w="90" w:type="dxa"/>
              <w:start w:w="100" w:type="dxa"/>
              <w:bottom w:w="90" w:type="dxa"/>
              <w:end w:w="100" w:type="dxa"/>
            </w:tcMar>
            <w:vAlign w:val="center"/>
          </w:tcPr>
          <w:p>
            <w:pPr>
              <w:spacing w:after="0" w:line="247" w:lineRule="auto"/>
            </w:pPr>
            <w:r>
              <w:rPr>
                <w:rFonts w:ascii="Arial" w:hAnsi="Arial"/>
                <w:b w:val="0"/>
                <w:color w:val="1F2937"/>
                <w:sz w:val="17"/>
              </w:rPr>
              <w:t>ElevenLabs workspace linkage, environment, scopes, verification and secret reference.</w:t>
            </w:r>
          </w:p>
        </w:tc>
      </w:tr>
      <w:tr>
        <w:tc>
          <w:tcPr>
            <w:tcW w:type="dxa" w:w="4031"/>
            <w:tcMar>
              <w:top w:w="90" w:type="dxa"/>
              <w:start w:w="100" w:type="dxa"/>
              <w:bottom w:w="90" w:type="dxa"/>
              <w:end w:w="100" w:type="dxa"/>
            </w:tcMar>
            <w:vAlign w:val="center"/>
            <w:shd w:fill="FAFBFC"/>
          </w:tcPr>
          <w:p>
            <w:pPr>
              <w:spacing w:after="0" w:line="247" w:lineRule="auto"/>
            </w:pPr>
            <w:r>
              <w:rPr>
                <w:rFonts w:ascii="Arial" w:hAnsi="Arial"/>
                <w:b/>
                <w:color w:val="1F2937"/>
                <w:sz w:val="17"/>
              </w:rPr>
              <w:t>VoiceAgent / AgentConfigVersion / AgentDeployment</w:t>
            </w:r>
          </w:p>
        </w:tc>
        <w:tc>
          <w:tcPr>
            <w:tcW w:type="dxa" w:w="5903"/>
            <w:tcMar>
              <w:top w:w="90" w:type="dxa"/>
              <w:start w:w="100" w:type="dxa"/>
              <w:bottom w:w="90" w:type="dxa"/>
              <w:end w:w="100" w:type="dxa"/>
            </w:tcMar>
            <w:vAlign w:val="center"/>
            <w:shd w:fill="FAFBFC"/>
          </w:tcPr>
          <w:p>
            <w:pPr>
              <w:spacing w:after="0" w:line="247" w:lineRule="auto"/>
            </w:pPr>
            <w:r>
              <w:rPr>
                <w:rFonts w:ascii="Arial" w:hAnsi="Arial"/>
                <w:b w:val="0"/>
                <w:color w:val="1F2937"/>
                <w:sz w:val="17"/>
              </w:rPr>
              <w:t>Local agent identity, configuration versions, approvals, tests, remote IDs and activation history.</w:t>
            </w:r>
          </w:p>
        </w:tc>
      </w:tr>
      <w:tr>
        <w:tc>
          <w:tcPr>
            <w:tcW w:type="dxa" w:w="4031"/>
            <w:tcMar>
              <w:top w:w="90" w:type="dxa"/>
              <w:start w:w="100" w:type="dxa"/>
              <w:bottom w:w="90" w:type="dxa"/>
              <w:end w:w="100" w:type="dxa"/>
            </w:tcMar>
            <w:vAlign w:val="center"/>
          </w:tcPr>
          <w:p>
            <w:pPr>
              <w:spacing w:after="0" w:line="247" w:lineRule="auto"/>
            </w:pPr>
            <w:r>
              <w:rPr>
                <w:rFonts w:ascii="Arial" w:hAnsi="Arial"/>
                <w:b/>
                <w:color w:val="1F2937"/>
                <w:sz w:val="17"/>
              </w:rPr>
              <w:t>VoiceProfile / VoiceAssignment</w:t>
            </w:r>
          </w:p>
        </w:tc>
        <w:tc>
          <w:tcPr>
            <w:tcW w:type="dxa" w:w="5903"/>
            <w:tcMar>
              <w:top w:w="90" w:type="dxa"/>
              <w:start w:w="100" w:type="dxa"/>
              <w:bottom w:w="90" w:type="dxa"/>
              <w:end w:w="100" w:type="dxa"/>
            </w:tcMar>
            <w:vAlign w:val="center"/>
          </w:tcPr>
          <w:p>
            <w:pPr>
              <w:spacing w:after="0" w:line="247" w:lineRule="auto"/>
            </w:pPr>
            <w:r>
              <w:rPr>
                <w:rFonts w:ascii="Arial" w:hAnsi="Arial"/>
                <w:b w:val="0"/>
                <w:color w:val="1F2937"/>
                <w:sz w:val="17"/>
              </w:rPr>
              <w:t>Voice catalogue metadata, ownership, approval, preview and language/environment assignment.</w:t>
            </w:r>
          </w:p>
        </w:tc>
      </w:tr>
      <w:tr>
        <w:tc>
          <w:tcPr>
            <w:tcW w:type="dxa" w:w="4031"/>
            <w:tcMar>
              <w:top w:w="90" w:type="dxa"/>
              <w:start w:w="100" w:type="dxa"/>
              <w:bottom w:w="90" w:type="dxa"/>
              <w:end w:w="100" w:type="dxa"/>
            </w:tcMar>
            <w:vAlign w:val="center"/>
            <w:shd w:fill="FAFBFC"/>
          </w:tcPr>
          <w:p>
            <w:pPr>
              <w:spacing w:after="0" w:line="247" w:lineRule="auto"/>
            </w:pPr>
            <w:r>
              <w:rPr>
                <w:rFonts w:ascii="Arial" w:hAnsi="Arial"/>
                <w:b/>
                <w:color w:val="1F2937"/>
                <w:sz w:val="17"/>
              </w:rPr>
              <w:t>KnowledgeAsset / KnowledgeVersion / KnowledgeApproval / KnowledgeSync</w:t>
            </w:r>
          </w:p>
        </w:tc>
        <w:tc>
          <w:tcPr>
            <w:tcW w:type="dxa" w:w="5903"/>
            <w:tcMar>
              <w:top w:w="90" w:type="dxa"/>
              <w:start w:w="100" w:type="dxa"/>
              <w:bottom w:w="90" w:type="dxa"/>
              <w:end w:w="100" w:type="dxa"/>
            </w:tcMar>
            <w:vAlign w:val="center"/>
            <w:shd w:fill="FAFBFC"/>
          </w:tcPr>
          <w:p>
            <w:pPr>
              <w:spacing w:after="0" w:line="247" w:lineRule="auto"/>
            </w:pPr>
            <w:r>
              <w:rPr>
                <w:rFonts w:ascii="Arial" w:hAnsi="Arial"/>
                <w:b w:val="0"/>
                <w:color w:val="1F2937"/>
                <w:sz w:val="17"/>
              </w:rPr>
              <w:t>Corporate knowledge master records, versions, metadata, approval and ElevenLabs runtime mapping.</w:t>
            </w:r>
          </w:p>
        </w:tc>
      </w:tr>
      <w:tr>
        <w:tc>
          <w:tcPr>
            <w:tcW w:type="dxa" w:w="4031"/>
            <w:tcMar>
              <w:top w:w="90" w:type="dxa"/>
              <w:start w:w="100" w:type="dxa"/>
              <w:bottom w:w="90" w:type="dxa"/>
              <w:end w:w="100" w:type="dxa"/>
            </w:tcMar>
            <w:vAlign w:val="center"/>
          </w:tcPr>
          <w:p>
            <w:pPr>
              <w:spacing w:after="0" w:line="247" w:lineRule="auto"/>
            </w:pPr>
            <w:r>
              <w:rPr>
                <w:rFonts w:ascii="Arial" w:hAnsi="Arial"/>
                <w:b/>
                <w:color w:val="1F2937"/>
                <w:sz w:val="17"/>
              </w:rPr>
              <w:t>AgentTest / TestVersion / TestRun / TestEvidence</w:t>
            </w:r>
          </w:p>
        </w:tc>
        <w:tc>
          <w:tcPr>
            <w:tcW w:type="dxa" w:w="5903"/>
            <w:tcMar>
              <w:top w:w="90" w:type="dxa"/>
              <w:start w:w="100" w:type="dxa"/>
              <w:bottom w:w="90" w:type="dxa"/>
              <w:end w:w="100" w:type="dxa"/>
            </w:tcMar>
            <w:vAlign w:val="center"/>
          </w:tcPr>
          <w:p>
            <w:pPr>
              <w:spacing w:after="0" w:line="247" w:lineRule="auto"/>
            </w:pPr>
            <w:r>
              <w:rPr>
                <w:rFonts w:ascii="Arial" w:hAnsi="Arial"/>
                <w:b w:val="0"/>
                <w:color w:val="1F2937"/>
                <w:sz w:val="17"/>
              </w:rPr>
              <w:t>Quantum Parks tests, provider test IDs, invocations, results, pass rates and release evidence.</w:t>
            </w:r>
          </w:p>
        </w:tc>
      </w:tr>
      <w:tr>
        <w:tc>
          <w:tcPr>
            <w:tcW w:type="dxa" w:w="4031"/>
            <w:tcMar>
              <w:top w:w="90" w:type="dxa"/>
              <w:start w:w="100" w:type="dxa"/>
              <w:bottom w:w="90" w:type="dxa"/>
              <w:end w:w="100" w:type="dxa"/>
            </w:tcMar>
            <w:vAlign w:val="center"/>
            <w:shd w:fill="FAFBFC"/>
          </w:tcPr>
          <w:p>
            <w:pPr>
              <w:spacing w:after="0" w:line="247" w:lineRule="auto"/>
            </w:pPr>
            <w:r>
              <w:rPr>
                <w:rFonts w:ascii="Arial" w:hAnsi="Arial"/>
                <w:b/>
                <w:color w:val="1F2937"/>
                <w:sz w:val="17"/>
              </w:rPr>
              <w:t>Conversation / RawWebhookEvent / ProviderConversation</w:t>
            </w:r>
          </w:p>
        </w:tc>
        <w:tc>
          <w:tcPr>
            <w:tcW w:type="dxa" w:w="5903"/>
            <w:tcMar>
              <w:top w:w="90" w:type="dxa"/>
              <w:start w:w="100" w:type="dxa"/>
              <w:bottom w:w="90" w:type="dxa"/>
              <w:end w:w="100" w:type="dxa"/>
            </w:tcMar>
            <w:vAlign w:val="center"/>
            <w:shd w:fill="FAFBFC"/>
          </w:tcPr>
          <w:p>
            <w:pPr>
              <w:spacing w:after="0" w:line="247" w:lineRule="auto"/>
            </w:pPr>
            <w:r>
              <w:rPr>
                <w:rFonts w:ascii="Arial" w:hAnsi="Arial"/>
                <w:b w:val="0"/>
                <w:color w:val="1F2937"/>
                <w:sz w:val="17"/>
              </w:rPr>
              <w:t>Canonical call record, immutable raw event and provider identifiers.</w:t>
            </w:r>
          </w:p>
        </w:tc>
      </w:tr>
      <w:tr>
        <w:tc>
          <w:tcPr>
            <w:tcW w:type="dxa" w:w="4031"/>
            <w:tcMar>
              <w:top w:w="90" w:type="dxa"/>
              <w:start w:w="100" w:type="dxa"/>
              <w:bottom w:w="90" w:type="dxa"/>
              <w:end w:w="100" w:type="dxa"/>
            </w:tcMar>
            <w:vAlign w:val="center"/>
          </w:tcPr>
          <w:p>
            <w:pPr>
              <w:spacing w:after="0" w:line="247" w:lineRule="auto"/>
            </w:pPr>
            <w:r>
              <w:rPr>
                <w:rFonts w:ascii="Arial" w:hAnsi="Arial"/>
                <w:b/>
                <w:color w:val="1F2937"/>
                <w:sz w:val="17"/>
              </w:rPr>
              <w:t>TranscriptTurn / TranscriptRevision / Redaction</w:t>
            </w:r>
          </w:p>
        </w:tc>
        <w:tc>
          <w:tcPr>
            <w:tcW w:type="dxa" w:w="5903"/>
            <w:tcMar>
              <w:top w:w="90" w:type="dxa"/>
              <w:start w:w="100" w:type="dxa"/>
              <w:bottom w:w="90" w:type="dxa"/>
              <w:end w:w="100" w:type="dxa"/>
            </w:tcMar>
            <w:vAlign w:val="center"/>
          </w:tcPr>
          <w:p>
            <w:pPr>
              <w:spacing w:after="0" w:line="247" w:lineRule="auto"/>
            </w:pPr>
            <w:r>
              <w:rPr>
                <w:rFonts w:ascii="Arial" w:hAnsi="Arial"/>
                <w:b w:val="0"/>
                <w:color w:val="1F2937"/>
                <w:sz w:val="17"/>
              </w:rPr>
              <w:t>Source and corrected transcript representation with provenance and access classification.</w:t>
            </w:r>
          </w:p>
        </w:tc>
      </w:tr>
      <w:tr>
        <w:tc>
          <w:tcPr>
            <w:tcW w:type="dxa" w:w="4031"/>
            <w:tcMar>
              <w:top w:w="90" w:type="dxa"/>
              <w:start w:w="100" w:type="dxa"/>
              <w:bottom w:w="90" w:type="dxa"/>
              <w:end w:w="100" w:type="dxa"/>
            </w:tcMar>
            <w:vAlign w:val="center"/>
            <w:shd w:fill="FAFBFC"/>
          </w:tcPr>
          <w:p>
            <w:pPr>
              <w:spacing w:after="0" w:line="247" w:lineRule="auto"/>
            </w:pPr>
            <w:r>
              <w:rPr>
                <w:rFonts w:ascii="Arial" w:hAnsi="Arial"/>
                <w:b/>
                <w:color w:val="1F2937"/>
                <w:sz w:val="17"/>
              </w:rPr>
              <w:t>CallSummary / CallClassification / CallOutcome / QualityReview</w:t>
            </w:r>
          </w:p>
        </w:tc>
        <w:tc>
          <w:tcPr>
            <w:tcW w:type="dxa" w:w="5903"/>
            <w:tcMar>
              <w:top w:w="90" w:type="dxa"/>
              <w:start w:w="100" w:type="dxa"/>
              <w:bottom w:w="90" w:type="dxa"/>
              <w:end w:w="100" w:type="dxa"/>
            </w:tcMar>
            <w:vAlign w:val="center"/>
            <w:shd w:fill="FAFBFC"/>
          </w:tcPr>
          <w:p>
            <w:pPr>
              <w:spacing w:after="0" w:line="247" w:lineRule="auto"/>
            </w:pPr>
            <w:r>
              <w:rPr>
                <w:rFonts w:ascii="Arial" w:hAnsi="Arial"/>
                <w:b w:val="0"/>
                <w:color w:val="1F2937"/>
                <w:sz w:val="17"/>
              </w:rPr>
              <w:t>Post-call intelligence, confidence, corrections and QA.</w:t>
            </w:r>
          </w:p>
        </w:tc>
      </w:tr>
      <w:tr>
        <w:tc>
          <w:tcPr>
            <w:tcW w:type="dxa" w:w="4031"/>
            <w:tcMar>
              <w:top w:w="90" w:type="dxa"/>
              <w:start w:w="100" w:type="dxa"/>
              <w:bottom w:w="90" w:type="dxa"/>
              <w:end w:w="100" w:type="dxa"/>
            </w:tcMar>
            <w:vAlign w:val="center"/>
          </w:tcPr>
          <w:p>
            <w:pPr>
              <w:spacing w:after="0" w:line="247" w:lineRule="auto"/>
            </w:pPr>
            <w:r>
              <w:rPr>
                <w:rFonts w:ascii="Arial" w:hAnsi="Arial"/>
                <w:b/>
                <w:color w:val="1F2937"/>
                <w:sz w:val="17"/>
              </w:rPr>
              <w:t>CustomerLink / CustomerSnapshot / BookingSnapshot / SupportSnapshot</w:t>
            </w:r>
          </w:p>
        </w:tc>
        <w:tc>
          <w:tcPr>
            <w:tcW w:type="dxa" w:w="5903"/>
            <w:tcMar>
              <w:top w:w="90" w:type="dxa"/>
              <w:start w:w="100" w:type="dxa"/>
              <w:bottom w:w="90" w:type="dxa"/>
              <w:end w:w="100" w:type="dxa"/>
            </w:tcMar>
            <w:vAlign w:val="center"/>
          </w:tcPr>
          <w:p>
            <w:pPr>
              <w:spacing w:after="0" w:line="247" w:lineRule="auto"/>
            </w:pPr>
            <w:r>
              <w:rPr>
                <w:rFonts w:ascii="Arial" w:hAnsi="Arial"/>
                <w:b w:val="0"/>
                <w:color w:val="1F2937"/>
                <w:sz w:val="17"/>
              </w:rPr>
              <w:t>Minimum call-time business context and historical linkage.</w:t>
            </w:r>
          </w:p>
        </w:tc>
      </w:tr>
      <w:tr>
        <w:tc>
          <w:tcPr>
            <w:tcW w:type="dxa" w:w="4031"/>
            <w:tcMar>
              <w:top w:w="90" w:type="dxa"/>
              <w:start w:w="100" w:type="dxa"/>
              <w:bottom w:w="90" w:type="dxa"/>
              <w:end w:w="100" w:type="dxa"/>
            </w:tcMar>
            <w:vAlign w:val="center"/>
            <w:shd w:fill="FAFBFC"/>
          </w:tcPr>
          <w:p>
            <w:pPr>
              <w:spacing w:after="0" w:line="247" w:lineRule="auto"/>
            </w:pPr>
            <w:r>
              <w:rPr>
                <w:rFonts w:ascii="Arial" w:hAnsi="Arial"/>
                <w:b/>
                <w:color w:val="1F2937"/>
                <w:sz w:val="17"/>
              </w:rPr>
              <w:t>Handoff / Callback / StaffTask / MessageDelivery</w:t>
            </w:r>
          </w:p>
        </w:tc>
        <w:tc>
          <w:tcPr>
            <w:tcW w:type="dxa" w:w="5903"/>
            <w:tcMar>
              <w:top w:w="90" w:type="dxa"/>
              <w:start w:w="100" w:type="dxa"/>
              <w:bottom w:w="90" w:type="dxa"/>
              <w:end w:w="100" w:type="dxa"/>
            </w:tcMar>
            <w:vAlign w:val="center"/>
            <w:shd w:fill="FAFBFC"/>
          </w:tcPr>
          <w:p>
            <w:pPr>
              <w:spacing w:after="0" w:line="247" w:lineRule="auto"/>
            </w:pPr>
            <w:r>
              <w:rPr>
                <w:rFonts w:ascii="Arial" w:hAnsi="Arial"/>
                <w:b w:val="0"/>
                <w:color w:val="1F2937"/>
                <w:sz w:val="17"/>
              </w:rPr>
              <w:t>Operational follow-up and lifecycle tracking.</w:t>
            </w:r>
          </w:p>
        </w:tc>
      </w:tr>
      <w:tr>
        <w:tc>
          <w:tcPr>
            <w:tcW w:type="dxa" w:w="4031"/>
            <w:tcMar>
              <w:top w:w="90" w:type="dxa"/>
              <w:start w:w="100" w:type="dxa"/>
              <w:bottom w:w="90" w:type="dxa"/>
              <w:end w:w="100" w:type="dxa"/>
            </w:tcMar>
            <w:vAlign w:val="center"/>
          </w:tcPr>
          <w:p>
            <w:pPr>
              <w:spacing w:after="0" w:line="247" w:lineRule="auto"/>
            </w:pPr>
            <w:r>
              <w:rPr>
                <w:rFonts w:ascii="Arial" w:hAnsi="Arial"/>
                <w:b/>
                <w:color w:val="1F2937"/>
                <w:sz w:val="17"/>
              </w:rPr>
              <w:t>Trend / KnowledgeGap / AggregateFact / ReportRun</w:t>
            </w:r>
          </w:p>
        </w:tc>
        <w:tc>
          <w:tcPr>
            <w:tcW w:type="dxa" w:w="5903"/>
            <w:tcMar>
              <w:top w:w="90" w:type="dxa"/>
              <w:start w:w="100" w:type="dxa"/>
              <w:bottom w:w="90" w:type="dxa"/>
              <w:end w:w="100" w:type="dxa"/>
            </w:tcMar>
            <w:vAlign w:val="center"/>
          </w:tcPr>
          <w:p>
            <w:pPr>
              <w:spacing w:after="0" w:line="247" w:lineRule="auto"/>
            </w:pPr>
            <w:r>
              <w:rPr>
                <w:rFonts w:ascii="Arial" w:hAnsi="Arial"/>
                <w:b w:val="0"/>
                <w:color w:val="1F2937"/>
                <w:sz w:val="17"/>
              </w:rPr>
              <w:t>Business intelligence and scheduled outputs.</w:t>
            </w:r>
          </w:p>
        </w:tc>
      </w:tr>
      <w:tr>
        <w:tc>
          <w:tcPr>
            <w:tcW w:type="dxa" w:w="4031"/>
            <w:tcMar>
              <w:top w:w="90" w:type="dxa"/>
              <w:start w:w="100" w:type="dxa"/>
              <w:bottom w:w="90" w:type="dxa"/>
              <w:end w:w="100" w:type="dxa"/>
            </w:tcMar>
            <w:vAlign w:val="center"/>
            <w:shd w:fill="FAFBFC"/>
          </w:tcPr>
          <w:p>
            <w:pPr>
              <w:spacing w:after="0" w:line="247" w:lineRule="auto"/>
            </w:pPr>
            <w:r>
              <w:rPr>
                <w:rFonts w:ascii="Arial" w:hAnsi="Arial"/>
                <w:b/>
                <w:color w:val="1F2937"/>
                <w:sz w:val="17"/>
              </w:rPr>
              <w:t>AuditEvent / RetentionPolicy / DeletionJob / LegalHold</w:t>
            </w:r>
          </w:p>
        </w:tc>
        <w:tc>
          <w:tcPr>
            <w:tcW w:type="dxa" w:w="5903"/>
            <w:tcMar>
              <w:top w:w="90" w:type="dxa"/>
              <w:start w:w="100" w:type="dxa"/>
              <w:bottom w:w="90" w:type="dxa"/>
              <w:end w:w="100" w:type="dxa"/>
            </w:tcMar>
            <w:vAlign w:val="center"/>
            <w:shd w:fill="FAFBFC"/>
          </w:tcPr>
          <w:p>
            <w:pPr>
              <w:spacing w:after="0" w:line="247" w:lineRule="auto"/>
            </w:pPr>
            <w:r>
              <w:rPr>
                <w:rFonts w:ascii="Arial" w:hAnsi="Arial"/>
                <w:b w:val="0"/>
                <w:color w:val="1F2937"/>
                <w:sz w:val="17"/>
              </w:rPr>
              <w:t>Governance, access, retention and evidence.</w:t>
            </w:r>
          </w:p>
        </w:tc>
      </w:tr>
    </w:tbl>
    <w:p>
      <w:pPr>
        <w:spacing w:after="40"/>
      </w:pPr>
    </w:p>
    <w:p>
      <w:pPr>
        <w:pStyle w:val="Heading2"/>
        <w:keepNext/>
      </w:pPr>
      <w:r>
        <w:rPr>
          <w:rFonts w:ascii="Arial" w:hAnsi="Arial"/>
        </w:rPr>
        <w:t>9.3 Local and remote mapping</w:t>
      </w:r>
    </w:p>
    <w:tbl>
      <w:tblPr>
        <w:tblW w:type="auto" w:w="0"/>
        <w:jc w:val="center"/>
        <w:tblLayout w:type="fixed"/>
        <w:tblLook w:firstColumn="1" w:firstRow="1" w:lastColumn="0" w:lastRow="0" w:noHBand="0" w:noVBand="1" w:val="04A0"/>
      </w:tblPr>
      <w:tblGrid>
        <w:gridCol w:w="173"/>
        <w:gridCol w:w="9720"/>
      </w:tblGrid>
      <w:tr>
        <w:tc>
          <w:tcPr>
            <w:tcW w:type="dxa" w:w="172"/>
            <w:shd w:fill="B57D1D"/>
            <w:tcMar>
              <w:top w:w="120" w:type="dxa"/>
              <w:start w:w="120" w:type="dxa"/>
              <w:bottom w:w="120" w:type="dxa"/>
              <w:end w:w="120" w:type="dxa"/>
            </w:tcMar>
            <w:vAlign w:val="center"/>
          </w:tcPr>
          <w:p/>
        </w:tc>
        <w:tc>
          <w:tcPr>
            <w:tcW w:type="dxa" w:w="9720"/>
            <w:shd w:fill="FFF8E7"/>
            <w:tcMar>
              <w:top w:w="120" w:type="dxa"/>
              <w:start w:w="120" w:type="dxa"/>
              <w:bottom w:w="120" w:type="dxa"/>
              <w:end w:w="120" w:type="dxa"/>
            </w:tcMar>
            <w:vAlign w:val="center"/>
          </w:tcPr>
          <w:p>
            <w:pPr>
              <w:spacing w:after="40"/>
            </w:pPr>
            <w:r>
              <w:rPr>
                <w:rFonts w:ascii="Arial" w:hAnsi="Arial"/>
                <w:b/>
                <w:color w:val="B57D1D"/>
                <w:sz w:val="19"/>
              </w:rPr>
              <w:t>SYNCHRONIZATION RULE</w:t>
            </w:r>
          </w:p>
          <w:p>
            <w:pPr>
              <w:spacing w:after="0" w:line="259" w:lineRule="auto"/>
            </w:pPr>
            <w:r>
              <w:rPr>
                <w:rFonts w:ascii="Arial" w:hAnsi="Arial"/>
                <w:color w:val="1F2937"/>
                <w:sz w:val="20"/>
              </w:rPr>
              <w:t>Every ElevenLabs-managed object must have a local master record, a remote identifier, a synchronization status and a last-verified timestamp. Local approval does not equal remote publication, and remote existence does not equal local approval.</w:t>
            </w:r>
          </w:p>
        </w:tc>
      </w:tr>
    </w:tbl>
    <w:p>
      <w:pPr>
        <w:spacing w:after="40"/>
      </w:pPr>
    </w:p>
    <w:p>
      <w:pPr>
        <w:pStyle w:val="Heading1"/>
        <w:keepNext/>
        <w:pageBreakBefore w:val="0"/>
      </w:pPr>
      <w:r>
        <w:rPr>
          <w:rFonts w:ascii="Arial" w:hAnsi="Arial"/>
        </w:rPr>
        <w:t>10  Integration and API architecture</w:t>
      </w:r>
    </w:p>
    <w:p>
      <w:pPr>
        <w:pStyle w:val="Heading2"/>
        <w:keepNext/>
      </w:pPr>
      <w:r>
        <w:rPr>
          <w:rFonts w:ascii="Arial" w:hAnsi="Arial"/>
        </w:rPr>
        <w:t>10.1 Integration directions</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2520"/>
        <w:gridCol w:w="3528"/>
        <w:gridCol w:w="3888"/>
      </w:tblGrid>
      <w:tr>
        <w:trPr>
          <w:tblHeader w:val="true"/>
        </w:trPr>
        <w:tc>
          <w:tcPr>
            <w:tcW w:type="dxa" w:w="2520"/>
            <w:shd w:fill="12304A"/>
            <w:tcMar>
              <w:top w:w="100" w:type="dxa"/>
              <w:start w:w="100" w:type="dxa"/>
              <w:bottom w:w="100" w:type="dxa"/>
              <w:end w:w="100" w:type="dxa"/>
            </w:tcMar>
            <w:vAlign w:val="center"/>
          </w:tcPr>
          <w:p>
            <w:pPr>
              <w:spacing w:after="0"/>
              <w:jc w:val="center"/>
            </w:pPr>
            <w:r>
              <w:rPr>
                <w:rFonts w:ascii="Arial" w:hAnsi="Arial"/>
                <w:b/>
                <w:color w:val="FFFFFF"/>
                <w:sz w:val="18"/>
              </w:rPr>
              <w:t>Direction</w:t>
            </w:r>
          </w:p>
        </w:tc>
        <w:tc>
          <w:tcPr>
            <w:tcW w:type="dxa" w:w="3528"/>
            <w:shd w:fill="12304A"/>
            <w:tcMar>
              <w:top w:w="100" w:type="dxa"/>
              <w:start w:w="100" w:type="dxa"/>
              <w:bottom w:w="100" w:type="dxa"/>
              <w:end w:w="100" w:type="dxa"/>
            </w:tcMar>
            <w:vAlign w:val="center"/>
          </w:tcPr>
          <w:p>
            <w:pPr>
              <w:spacing w:after="0"/>
              <w:jc w:val="center"/>
            </w:pPr>
            <w:r>
              <w:rPr>
                <w:rFonts w:ascii="Arial" w:hAnsi="Arial"/>
                <w:b/>
                <w:color w:val="FFFFFF"/>
                <w:sz w:val="18"/>
              </w:rPr>
              <w:t>Purpose</w:t>
            </w:r>
          </w:p>
        </w:tc>
        <w:tc>
          <w:tcPr>
            <w:tcW w:type="dxa" w:w="3888"/>
            <w:shd w:fill="12304A"/>
            <w:tcMar>
              <w:top w:w="100" w:type="dxa"/>
              <w:start w:w="100" w:type="dxa"/>
              <w:bottom w:w="100" w:type="dxa"/>
              <w:end w:w="100" w:type="dxa"/>
            </w:tcMar>
            <w:vAlign w:val="center"/>
          </w:tcPr>
          <w:p>
            <w:pPr>
              <w:spacing w:after="0"/>
              <w:jc w:val="center"/>
            </w:pPr>
            <w:r>
              <w:rPr>
                <w:rFonts w:ascii="Arial" w:hAnsi="Arial"/>
                <w:b/>
                <w:color w:val="FFFFFF"/>
                <w:sz w:val="18"/>
              </w:rPr>
              <w:t>Controls</w:t>
            </w:r>
          </w:p>
        </w:tc>
      </w:tr>
      <w:tr>
        <w:tc>
          <w:tcPr>
            <w:tcW w:type="dxa" w:w="2520"/>
            <w:tcMar>
              <w:top w:w="90" w:type="dxa"/>
              <w:start w:w="100" w:type="dxa"/>
              <w:bottom w:w="90" w:type="dxa"/>
              <w:end w:w="100" w:type="dxa"/>
            </w:tcMar>
            <w:vAlign w:val="center"/>
          </w:tcPr>
          <w:p>
            <w:pPr>
              <w:spacing w:after="0" w:line="247" w:lineRule="auto"/>
            </w:pPr>
            <w:r>
              <w:rPr>
                <w:rFonts w:ascii="Arial" w:hAnsi="Arial"/>
                <w:b/>
                <w:color w:val="1F2937"/>
                <w:sz w:val="16"/>
              </w:rPr>
              <w:t>Quantum Parks frontend -&gt; Quantum Parks backend</w:t>
            </w:r>
          </w:p>
        </w:tc>
        <w:tc>
          <w:tcPr>
            <w:tcW w:type="dxa" w:w="3528"/>
            <w:tcMar>
              <w:top w:w="90" w:type="dxa"/>
              <w:start w:w="100" w:type="dxa"/>
              <w:bottom w:w="90" w:type="dxa"/>
              <w:end w:w="100" w:type="dxa"/>
            </w:tcMar>
            <w:vAlign w:val="center"/>
          </w:tcPr>
          <w:p>
            <w:pPr>
              <w:spacing w:after="0" w:line="247" w:lineRule="auto"/>
            </w:pPr>
            <w:r>
              <w:rPr>
                <w:rFonts w:ascii="Arial" w:hAnsi="Arial"/>
                <w:b w:val="0"/>
                <w:color w:val="1F2937"/>
                <w:sz w:val="16"/>
              </w:rPr>
              <w:t>All user operations, reports, tests and configuration</w:t>
            </w:r>
          </w:p>
        </w:tc>
        <w:tc>
          <w:tcPr>
            <w:tcW w:type="dxa" w:w="3888"/>
            <w:tcMar>
              <w:top w:w="90" w:type="dxa"/>
              <w:start w:w="100" w:type="dxa"/>
              <w:bottom w:w="90" w:type="dxa"/>
              <w:end w:w="100" w:type="dxa"/>
            </w:tcMar>
            <w:vAlign w:val="center"/>
          </w:tcPr>
          <w:p>
            <w:pPr>
              <w:spacing w:after="0" w:line="247" w:lineRule="auto"/>
            </w:pPr>
            <w:r>
              <w:rPr>
                <w:rFonts w:ascii="Arial" w:hAnsi="Arial"/>
                <w:b w:val="0"/>
                <w:color w:val="1F2937"/>
                <w:sz w:val="16"/>
              </w:rPr>
              <w:t>OIDC, RBAC, validation, CSRF/session controls, audit</w:t>
            </w:r>
          </w:p>
        </w:tc>
      </w:tr>
      <w:tr>
        <w:tc>
          <w:tcPr>
            <w:tcW w:type="dxa" w:w="2520"/>
            <w:tcMar>
              <w:top w:w="90" w:type="dxa"/>
              <w:start w:w="100" w:type="dxa"/>
              <w:bottom w:w="90" w:type="dxa"/>
              <w:end w:w="100" w:type="dxa"/>
            </w:tcMar>
            <w:vAlign w:val="center"/>
            <w:shd w:fill="FAFBFC"/>
          </w:tcPr>
          <w:p>
            <w:pPr>
              <w:spacing w:after="0" w:line="247" w:lineRule="auto"/>
            </w:pPr>
            <w:r>
              <w:rPr>
                <w:rFonts w:ascii="Arial" w:hAnsi="Arial"/>
                <w:b/>
                <w:color w:val="1F2937"/>
                <w:sz w:val="16"/>
              </w:rPr>
              <w:t>Quantum Parks backend -&gt; ElevenLabs APIs</w:t>
            </w:r>
          </w:p>
        </w:tc>
        <w:tc>
          <w:tcPr>
            <w:tcW w:type="dxa" w:w="3528"/>
            <w:tcMar>
              <w:top w:w="90" w:type="dxa"/>
              <w:start w:w="100" w:type="dxa"/>
              <w:bottom w:w="90" w:type="dxa"/>
              <w:end w:w="100" w:type="dxa"/>
            </w:tcMar>
            <w:vAlign w:val="center"/>
            <w:shd w:fill="FAFBFC"/>
          </w:tcPr>
          <w:p>
            <w:pPr>
              <w:spacing w:after="0" w:line="247" w:lineRule="auto"/>
            </w:pPr>
            <w:r>
              <w:rPr>
                <w:rFonts w:ascii="Arial" w:hAnsi="Arial"/>
                <w:b w:val="0"/>
                <w:color w:val="1F2937"/>
                <w:sz w:val="16"/>
              </w:rPr>
              <w:t>Agents, knowledge, voices, tests, conversations, provider status</w:t>
            </w:r>
          </w:p>
        </w:tc>
        <w:tc>
          <w:tcPr>
            <w:tcW w:type="dxa" w:w="3888"/>
            <w:tcMar>
              <w:top w:w="90" w:type="dxa"/>
              <w:start w:w="100" w:type="dxa"/>
              <w:bottom w:w="90" w:type="dxa"/>
              <w:end w:w="100" w:type="dxa"/>
            </w:tcMar>
            <w:vAlign w:val="center"/>
            <w:shd w:fill="FAFBFC"/>
          </w:tcPr>
          <w:p>
            <w:pPr>
              <w:spacing w:after="0" w:line="247" w:lineRule="auto"/>
            </w:pPr>
            <w:r>
              <w:rPr>
                <w:rFonts w:ascii="Arial" w:hAnsi="Arial"/>
                <w:b w:val="0"/>
                <w:color w:val="1F2937"/>
                <w:sz w:val="16"/>
              </w:rPr>
              <w:t>Service-account key, least privilege, quota, retry, idempotency where available, reconciliation</w:t>
            </w:r>
          </w:p>
        </w:tc>
      </w:tr>
      <w:tr>
        <w:tc>
          <w:tcPr>
            <w:tcW w:type="dxa" w:w="2520"/>
            <w:tcMar>
              <w:top w:w="90" w:type="dxa"/>
              <w:start w:w="100" w:type="dxa"/>
              <w:bottom w:w="90" w:type="dxa"/>
              <w:end w:w="100" w:type="dxa"/>
            </w:tcMar>
            <w:vAlign w:val="center"/>
          </w:tcPr>
          <w:p>
            <w:pPr>
              <w:spacing w:after="0" w:line="247" w:lineRule="auto"/>
            </w:pPr>
            <w:r>
              <w:rPr>
                <w:rFonts w:ascii="Arial" w:hAnsi="Arial"/>
                <w:b/>
                <w:color w:val="1F2937"/>
                <w:sz w:val="16"/>
              </w:rPr>
              <w:t>ElevenLabs -&gt; Quantum Parks personalization endpoint</w:t>
            </w:r>
          </w:p>
        </w:tc>
        <w:tc>
          <w:tcPr>
            <w:tcW w:type="dxa" w:w="3528"/>
            <w:tcMar>
              <w:top w:w="90" w:type="dxa"/>
              <w:start w:w="100" w:type="dxa"/>
              <w:bottom w:w="90" w:type="dxa"/>
              <w:end w:w="100" w:type="dxa"/>
            </w:tcMar>
            <w:vAlign w:val="center"/>
          </w:tcPr>
          <w:p>
            <w:pPr>
              <w:spacing w:after="0" w:line="247" w:lineRule="auto"/>
            </w:pPr>
            <w:r>
              <w:rPr>
                <w:rFonts w:ascii="Arial" w:hAnsi="Arial"/>
                <w:b w:val="0"/>
                <w:color w:val="1F2937"/>
                <w:sz w:val="16"/>
              </w:rPr>
              <w:t>Initial caller and call context</w:t>
            </w:r>
          </w:p>
        </w:tc>
        <w:tc>
          <w:tcPr>
            <w:tcW w:type="dxa" w:w="3888"/>
            <w:tcMar>
              <w:top w:w="90" w:type="dxa"/>
              <w:start w:w="100" w:type="dxa"/>
              <w:bottom w:w="90" w:type="dxa"/>
              <w:end w:w="100" w:type="dxa"/>
            </w:tcMar>
            <w:vAlign w:val="center"/>
          </w:tcPr>
          <w:p>
            <w:pPr>
              <w:spacing w:after="0" w:line="247" w:lineRule="auto"/>
            </w:pPr>
            <w:r>
              <w:rPr>
                <w:rFonts w:ascii="Arial" w:hAnsi="Arial"/>
                <w:b w:val="0"/>
                <w:color w:val="1F2937"/>
                <w:sz w:val="16"/>
              </w:rPr>
              <w:t>Authentication, allowlist, minimum data, timeout, no sensitive disclosure</w:t>
            </w:r>
          </w:p>
        </w:tc>
      </w:tr>
      <w:tr>
        <w:tc>
          <w:tcPr>
            <w:tcW w:type="dxa" w:w="2520"/>
            <w:tcMar>
              <w:top w:w="90" w:type="dxa"/>
              <w:start w:w="100" w:type="dxa"/>
              <w:bottom w:w="90" w:type="dxa"/>
              <w:end w:w="100" w:type="dxa"/>
            </w:tcMar>
            <w:vAlign w:val="center"/>
            <w:shd w:fill="FAFBFC"/>
          </w:tcPr>
          <w:p>
            <w:pPr>
              <w:spacing w:after="0" w:line="247" w:lineRule="auto"/>
            </w:pPr>
            <w:r>
              <w:rPr>
                <w:rFonts w:ascii="Arial" w:hAnsi="Arial"/>
                <w:b/>
                <w:color w:val="1F2937"/>
                <w:sz w:val="16"/>
              </w:rPr>
              <w:t>ElevenLabs -&gt; Quantum Parks tool endpoints</w:t>
            </w:r>
          </w:p>
        </w:tc>
        <w:tc>
          <w:tcPr>
            <w:tcW w:type="dxa" w:w="3528"/>
            <w:tcMar>
              <w:top w:w="90" w:type="dxa"/>
              <w:start w:w="100" w:type="dxa"/>
              <w:bottom w:w="90" w:type="dxa"/>
              <w:end w:w="100" w:type="dxa"/>
            </w:tcMar>
            <w:vAlign w:val="center"/>
            <w:shd w:fill="FAFBFC"/>
          </w:tcPr>
          <w:p>
            <w:pPr>
              <w:spacing w:after="0" w:line="247" w:lineRule="auto"/>
            </w:pPr>
            <w:r>
              <w:rPr>
                <w:rFonts w:ascii="Arial" w:hAnsi="Arial"/>
                <w:b w:val="0"/>
                <w:color w:val="1F2937"/>
                <w:sz w:val="16"/>
              </w:rPr>
              <w:t>Authoritative data and controlled actions during calls</w:t>
            </w:r>
          </w:p>
        </w:tc>
        <w:tc>
          <w:tcPr>
            <w:tcW w:type="dxa" w:w="3888"/>
            <w:tcMar>
              <w:top w:w="90" w:type="dxa"/>
              <w:start w:w="100" w:type="dxa"/>
              <w:bottom w:w="90" w:type="dxa"/>
              <w:end w:w="100" w:type="dxa"/>
            </w:tcMar>
            <w:vAlign w:val="center"/>
            <w:shd w:fill="FAFBFC"/>
          </w:tcPr>
          <w:p>
            <w:pPr>
              <w:spacing w:after="0" w:line="247" w:lineRule="auto"/>
            </w:pPr>
            <w:r>
              <w:rPr>
                <w:rFonts w:ascii="Arial" w:hAnsi="Arial"/>
                <w:b w:val="0"/>
                <w:color w:val="1F2937"/>
                <w:sz w:val="16"/>
              </w:rPr>
              <w:t>Typed schemas, purpose, verification, feature flags, audit, no payment/capacity writes</w:t>
            </w:r>
          </w:p>
        </w:tc>
      </w:tr>
      <w:tr>
        <w:tc>
          <w:tcPr>
            <w:tcW w:type="dxa" w:w="2520"/>
            <w:tcMar>
              <w:top w:w="90" w:type="dxa"/>
              <w:start w:w="100" w:type="dxa"/>
              <w:bottom w:w="90" w:type="dxa"/>
              <w:end w:w="100" w:type="dxa"/>
            </w:tcMar>
            <w:vAlign w:val="center"/>
          </w:tcPr>
          <w:p>
            <w:pPr>
              <w:spacing w:after="0" w:line="247" w:lineRule="auto"/>
            </w:pPr>
            <w:r>
              <w:rPr>
                <w:rFonts w:ascii="Arial" w:hAnsi="Arial"/>
                <w:b/>
                <w:color w:val="1F2937"/>
                <w:sz w:val="16"/>
              </w:rPr>
              <w:t>ElevenLabs -&gt; Quantum Parks post-call webhook</w:t>
            </w:r>
          </w:p>
        </w:tc>
        <w:tc>
          <w:tcPr>
            <w:tcW w:type="dxa" w:w="3528"/>
            <w:tcMar>
              <w:top w:w="90" w:type="dxa"/>
              <w:start w:w="100" w:type="dxa"/>
              <w:bottom w:w="90" w:type="dxa"/>
              <w:end w:w="100" w:type="dxa"/>
            </w:tcMar>
            <w:vAlign w:val="center"/>
          </w:tcPr>
          <w:p>
            <w:pPr>
              <w:spacing w:after="0" w:line="247" w:lineRule="auto"/>
            </w:pPr>
            <w:r>
              <w:rPr>
                <w:rFonts w:ascii="Arial" w:hAnsi="Arial"/>
                <w:b w:val="0"/>
                <w:color w:val="1F2937"/>
                <w:sz w:val="16"/>
              </w:rPr>
              <w:t>Transcript and metadata ingestion</w:t>
            </w:r>
          </w:p>
        </w:tc>
        <w:tc>
          <w:tcPr>
            <w:tcW w:type="dxa" w:w="3888"/>
            <w:tcMar>
              <w:top w:w="90" w:type="dxa"/>
              <w:start w:w="100" w:type="dxa"/>
              <w:bottom w:w="90" w:type="dxa"/>
              <w:end w:w="100" w:type="dxa"/>
            </w:tcMar>
            <w:vAlign w:val="center"/>
          </w:tcPr>
          <w:p>
            <w:pPr>
              <w:spacing w:after="0" w:line="247" w:lineRule="auto"/>
            </w:pPr>
            <w:r>
              <w:rPr>
                <w:rFonts w:ascii="Arial" w:hAnsi="Arial"/>
                <w:b w:val="0"/>
                <w:color w:val="1F2937"/>
                <w:sz w:val="16"/>
              </w:rPr>
              <w:t>Signature/HMAC, timestamp, replay prevention, idempotency, raw archive</w:t>
            </w:r>
          </w:p>
        </w:tc>
      </w:tr>
      <w:tr>
        <w:tc>
          <w:tcPr>
            <w:tcW w:type="dxa" w:w="2520"/>
            <w:tcMar>
              <w:top w:w="90" w:type="dxa"/>
              <w:start w:w="100" w:type="dxa"/>
              <w:bottom w:w="90" w:type="dxa"/>
              <w:end w:w="100" w:type="dxa"/>
            </w:tcMar>
            <w:vAlign w:val="center"/>
            <w:shd w:fill="FAFBFC"/>
          </w:tcPr>
          <w:p>
            <w:pPr>
              <w:spacing w:after="0" w:line="247" w:lineRule="auto"/>
            </w:pPr>
            <w:r>
              <w:rPr>
                <w:rFonts w:ascii="Arial" w:hAnsi="Arial"/>
                <w:b/>
                <w:color w:val="1F2937"/>
                <w:sz w:val="16"/>
              </w:rPr>
              <w:t>Quantum Parks -&gt; business systems</w:t>
            </w:r>
          </w:p>
        </w:tc>
        <w:tc>
          <w:tcPr>
            <w:tcW w:type="dxa" w:w="3528"/>
            <w:tcMar>
              <w:top w:w="90" w:type="dxa"/>
              <w:start w:w="100" w:type="dxa"/>
              <w:bottom w:w="90" w:type="dxa"/>
              <w:end w:w="100" w:type="dxa"/>
            </w:tcMar>
            <w:vAlign w:val="center"/>
            <w:shd w:fill="FAFBFC"/>
          </w:tcPr>
          <w:p>
            <w:pPr>
              <w:spacing w:after="0" w:line="247" w:lineRule="auto"/>
            </w:pPr>
            <w:r>
              <w:rPr>
                <w:rFonts w:ascii="Arial" w:hAnsi="Arial"/>
                <w:b w:val="0"/>
                <w:color w:val="1F2937"/>
                <w:sz w:val="16"/>
              </w:rPr>
              <w:t>Customer, booking, Zendesk, messaging and reports</w:t>
            </w:r>
          </w:p>
        </w:tc>
        <w:tc>
          <w:tcPr>
            <w:tcW w:type="dxa" w:w="3888"/>
            <w:tcMar>
              <w:top w:w="90" w:type="dxa"/>
              <w:start w:w="100" w:type="dxa"/>
              <w:bottom w:w="90" w:type="dxa"/>
              <w:end w:w="100" w:type="dxa"/>
            </w:tcMar>
            <w:vAlign w:val="center"/>
            <w:shd w:fill="FAFBFC"/>
          </w:tcPr>
          <w:p>
            <w:pPr>
              <w:spacing w:after="0" w:line="247" w:lineRule="auto"/>
            </w:pPr>
            <w:r>
              <w:rPr>
                <w:rFonts w:ascii="Arial" w:hAnsi="Arial"/>
                <w:b w:val="0"/>
                <w:color w:val="1F2937"/>
                <w:sz w:val="16"/>
              </w:rPr>
              <w:t>Adapter contracts, least data, timeouts, explicit result states, snapshots</w:t>
            </w:r>
          </w:p>
        </w:tc>
      </w:tr>
    </w:tbl>
    <w:p>
      <w:pPr>
        <w:spacing w:after="40"/>
      </w:pPr>
    </w:p>
    <w:p>
      <w:pPr>
        <w:pStyle w:val="Heading2"/>
        <w:keepNext/>
      </w:pPr>
      <w:r>
        <w:rPr>
          <w:rFonts w:ascii="Arial" w:hAnsi="Arial"/>
        </w:rPr>
        <w:t>10.2 Required ElevenLabs API domains</w:t>
      </w:r>
    </w:p>
    <w:p>
      <w:pPr>
        <w:pStyle w:val="ListBullet"/>
        <w:spacing w:before="0" w:after="60" w:line="259" w:lineRule="auto"/>
      </w:pPr>
      <w:r>
        <w:rPr>
          <w:rFonts w:ascii="Arial" w:hAnsi="Arial"/>
          <w:sz w:val="20"/>
        </w:rPr>
        <w:t>Agents and versioned configuration: create, retrieve, update, branch/version or equivalent release operations supported by the current API.</w:t>
      </w:r>
    </w:p>
    <w:p>
      <w:pPr>
        <w:pStyle w:val="ListBullet"/>
        <w:spacing w:before="0" w:after="60" w:line="259" w:lineRule="auto"/>
      </w:pPr>
      <w:r>
        <w:rPr>
          <w:rFonts w:ascii="Arial" w:hAnsi="Arial"/>
          <w:sz w:val="20"/>
        </w:rPr>
        <w:t>Knowledge base: create from text, file or URL; retrieve, update, delete/withdraw, organize and assign to agents.</w:t>
      </w:r>
    </w:p>
    <w:p>
      <w:pPr>
        <w:pStyle w:val="ListBullet"/>
        <w:spacing w:before="0" w:after="60" w:line="259" w:lineRule="auto"/>
      </w:pPr>
      <w:r>
        <w:rPr>
          <w:rFonts w:ascii="Arial" w:hAnsi="Arial"/>
          <w:sz w:val="20"/>
        </w:rPr>
        <w:t>Voices: list/search, retrieve metadata and preview, plus approved custom-voice operations where supported.</w:t>
      </w:r>
    </w:p>
    <w:p>
      <w:pPr>
        <w:pStyle w:val="ListBullet"/>
        <w:spacing w:before="0" w:after="60" w:line="259" w:lineRule="auto"/>
      </w:pPr>
      <w:r>
        <w:rPr>
          <w:rFonts w:ascii="Arial" w:hAnsi="Arial"/>
          <w:sz w:val="20"/>
        </w:rPr>
        <w:t>Agent testing: create/list/get/update tests, run tests against agents or configuration overrides and retrieve results.</w:t>
      </w:r>
    </w:p>
    <w:p>
      <w:pPr>
        <w:pStyle w:val="ListBullet"/>
        <w:spacing w:before="0" w:after="60" w:line="259" w:lineRule="auto"/>
      </w:pPr>
      <w:r>
        <w:rPr>
          <w:rFonts w:ascii="Arial" w:hAnsi="Arial"/>
          <w:sz w:val="20"/>
        </w:rPr>
        <w:t>Conversations and post-call webhooks: receive transcription events, retrieve conversations and reconcile missing events.</w:t>
      </w:r>
    </w:p>
    <w:p>
      <w:pPr>
        <w:pStyle w:val="ListBullet"/>
        <w:spacing w:before="0" w:after="60" w:line="259" w:lineRule="auto"/>
      </w:pPr>
      <w:r>
        <w:rPr>
          <w:rFonts w:ascii="Arial" w:hAnsi="Arial"/>
          <w:sz w:val="20"/>
        </w:rPr>
        <w:t>Personalization and tools: dynamic variables, overrides and webhook tool invocation.</w:t>
      </w:r>
    </w:p>
    <w:p>
      <w:pPr>
        <w:pStyle w:val="ListBullet"/>
        <w:spacing w:before="0" w:after="60" w:line="259" w:lineRule="auto"/>
      </w:pPr>
      <w:r>
        <w:rPr>
          <w:rFonts w:ascii="Arial" w:hAnsi="Arial"/>
          <w:sz w:val="20"/>
        </w:rPr>
        <w:t>Workspace/security/usage capabilities exposed by the selected plan and account type.</w:t>
      </w:r>
    </w:p>
    <w:p>
      <w:pPr>
        <w:pStyle w:val="Heading2"/>
        <w:keepNext/>
      </w:pPr>
      <w:r>
        <w:rPr>
          <w:rFonts w:ascii="Arial" w:hAnsi="Arial"/>
        </w:rPr>
        <w:t>10.3 API behavior requirements</w:t>
      </w:r>
    </w:p>
    <w:p>
      <w:pPr>
        <w:pStyle w:val="ListBullet"/>
        <w:spacing w:before="0" w:after="60" w:line="259" w:lineRule="auto"/>
      </w:pPr>
      <w:r>
        <w:rPr>
          <w:rFonts w:ascii="Arial" w:hAnsi="Arial"/>
          <w:sz w:val="20"/>
        </w:rPr>
        <w:t>Provider adapters must use typed request and response schemas and tolerate additive webhook fields.</w:t>
      </w:r>
    </w:p>
    <w:p>
      <w:pPr>
        <w:pStyle w:val="ListBullet"/>
        <w:spacing w:before="0" w:after="60" w:line="259" w:lineRule="auto"/>
      </w:pPr>
      <w:r>
        <w:rPr>
          <w:rFonts w:ascii="Arial" w:hAnsi="Arial"/>
          <w:sz w:val="20"/>
        </w:rPr>
        <w:t>Provider failures use explicit states such as validation failed, unauthorized, rate limited, timeout, unavailable and unknown failure.</w:t>
      </w:r>
    </w:p>
    <w:p>
      <w:pPr>
        <w:pStyle w:val="ListBullet"/>
        <w:spacing w:before="0" w:after="60" w:line="259" w:lineRule="auto"/>
      </w:pPr>
      <w:r>
        <w:rPr>
          <w:rFonts w:ascii="Arial" w:hAnsi="Arial"/>
          <w:sz w:val="20"/>
        </w:rPr>
        <w:t>Long-running synchronization and test operations are asynchronous and expose progress.</w:t>
      </w:r>
    </w:p>
    <w:p>
      <w:pPr>
        <w:pStyle w:val="ListBullet"/>
        <w:spacing w:before="0" w:after="60" w:line="259" w:lineRule="auto"/>
      </w:pPr>
      <w:r>
        <w:rPr>
          <w:rFonts w:ascii="Arial" w:hAnsi="Arial"/>
          <w:sz w:val="20"/>
        </w:rPr>
        <w:t>All calls use correlation IDs; provider request IDs and conversation IDs propagate to logs and audit.</w:t>
      </w:r>
    </w:p>
    <w:p>
      <w:pPr>
        <w:pStyle w:val="ListBullet"/>
        <w:spacing w:before="0" w:after="60" w:line="259" w:lineRule="auto"/>
      </w:pPr>
      <w:r>
        <w:rPr>
          <w:rFonts w:ascii="Arial" w:hAnsi="Arial"/>
          <w:sz w:val="20"/>
        </w:rPr>
        <w:t>The backend must never return the ElevenLabs API key to browser code.</w:t>
      </w:r>
    </w:p>
    <w:p>
      <w:pPr>
        <w:pStyle w:val="ListBullet"/>
        <w:spacing w:before="0" w:after="60" w:line="259" w:lineRule="auto"/>
      </w:pPr>
      <w:r>
        <w:rPr>
          <w:rFonts w:ascii="Arial" w:hAnsi="Arial"/>
          <w:sz w:val="20"/>
        </w:rPr>
        <w:t>Official provider documentation and installed SDK versions must be revalidated before implementation and release.</w:t>
      </w:r>
    </w:p>
    <w:p>
      <w:pPr>
        <w:pStyle w:val="Heading2"/>
        <w:keepNext/>
      </w:pPr>
      <w:r>
        <w:rPr>
          <w:rFonts w:ascii="Arial" w:hAnsi="Arial"/>
        </w:rPr>
        <w:t>10.4 Provider-console boundary</w:t>
      </w:r>
    </w:p>
    <w:p>
      <w:pPr>
        <w:spacing w:before="0" w:after="120" w:line="259" w:lineRule="auto"/>
      </w:pPr>
      <w:r>
        <w:rPr>
          <w:rFonts w:ascii="Arial" w:hAnsi="Arial"/>
          <w:i w:val="0"/>
        </w:rPr>
        <w:t>All supported day-to-day operations must be accessible from the Quantum Parks application. Initial workspace creation, commercial plan management, invoices, enterprise contracts, API-key bootstrap or other capabilities not exposed by supported APIs may require a restricted platform owner to use the ElevenLabs console. Each such dependency must be documented in the external onboarding register and must not affect ordinary operators, editors, QA users or managers.</w:t>
      </w:r>
    </w:p>
    <w:p>
      <w:pPr>
        <w:pStyle w:val="Heading1"/>
        <w:keepNext/>
        <w:pageBreakBefore w:val="0"/>
      </w:pPr>
      <w:r>
        <w:rPr>
          <w:rFonts w:ascii="Arial" w:hAnsi="Arial"/>
        </w:rPr>
        <w:t>11  User experience and application modules</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2088"/>
        <w:gridCol w:w="7848"/>
      </w:tblGrid>
      <w:tr>
        <w:trPr>
          <w:tblHeader w:val="true"/>
        </w:trPr>
        <w:tc>
          <w:tcPr>
            <w:tcW w:type="dxa" w:w="2088"/>
            <w:shd w:fill="12304A"/>
            <w:tcMar>
              <w:top w:w="100" w:type="dxa"/>
              <w:start w:w="100" w:type="dxa"/>
              <w:bottom w:w="100" w:type="dxa"/>
              <w:end w:w="100" w:type="dxa"/>
            </w:tcMar>
            <w:vAlign w:val="center"/>
          </w:tcPr>
          <w:p>
            <w:pPr>
              <w:spacing w:after="0"/>
              <w:jc w:val="center"/>
            </w:pPr>
            <w:r>
              <w:rPr>
                <w:rFonts w:ascii="Arial" w:hAnsi="Arial"/>
                <w:b/>
                <w:color w:val="FFFFFF"/>
                <w:sz w:val="18"/>
              </w:rPr>
              <w:t>Application area</w:t>
            </w:r>
          </w:p>
        </w:tc>
        <w:tc>
          <w:tcPr>
            <w:tcW w:type="dxa" w:w="7848"/>
            <w:shd w:fill="12304A"/>
            <w:tcMar>
              <w:top w:w="100" w:type="dxa"/>
              <w:start w:w="100" w:type="dxa"/>
              <w:bottom w:w="100" w:type="dxa"/>
              <w:end w:w="100" w:type="dxa"/>
            </w:tcMar>
            <w:vAlign w:val="center"/>
          </w:tcPr>
          <w:p>
            <w:pPr>
              <w:spacing w:after="0"/>
              <w:jc w:val="center"/>
            </w:pPr>
            <w:r>
              <w:rPr>
                <w:rFonts w:ascii="Arial" w:hAnsi="Arial"/>
                <w:b/>
                <w:color w:val="FFFFFF"/>
                <w:sz w:val="18"/>
              </w:rPr>
              <w:t>Required experience</w:t>
            </w:r>
          </w:p>
        </w:tc>
      </w:tr>
      <w:tr>
        <w:tc>
          <w:tcPr>
            <w:tcW w:type="dxa" w:w="2088"/>
            <w:tcMar>
              <w:top w:w="90" w:type="dxa"/>
              <w:start w:w="100" w:type="dxa"/>
              <w:bottom w:w="90" w:type="dxa"/>
              <w:end w:w="100" w:type="dxa"/>
            </w:tcMar>
            <w:vAlign w:val="center"/>
          </w:tcPr>
          <w:p>
            <w:pPr>
              <w:spacing w:after="0" w:line="247" w:lineRule="auto"/>
            </w:pPr>
            <w:r>
              <w:rPr>
                <w:rFonts w:ascii="Arial" w:hAnsi="Arial"/>
                <w:b/>
                <w:color w:val="1F2937"/>
                <w:sz w:val="17"/>
              </w:rPr>
              <w:t>Overview</w:t>
            </w:r>
          </w:p>
        </w:tc>
        <w:tc>
          <w:tcPr>
            <w:tcW w:type="dxa" w:w="7848"/>
            <w:tcMar>
              <w:top w:w="90" w:type="dxa"/>
              <w:start w:w="100" w:type="dxa"/>
              <w:bottom w:w="90" w:type="dxa"/>
              <w:end w:w="100" w:type="dxa"/>
            </w:tcMar>
            <w:vAlign w:val="center"/>
          </w:tcPr>
          <w:p>
            <w:pPr>
              <w:spacing w:after="0" w:line="247" w:lineRule="auto"/>
            </w:pPr>
            <w:r>
              <w:rPr>
                <w:rFonts w:ascii="Arial" w:hAnsi="Arial"/>
                <w:b w:val="0"/>
                <w:color w:val="1F2937"/>
                <w:sz w:val="17"/>
              </w:rPr>
              <w:t>Provider health, active agent version, calls, processing backlog, failed syncs, test status, tasks and readiness.</w:t>
            </w:r>
          </w:p>
        </w:tc>
      </w:tr>
      <w:tr>
        <w:tc>
          <w:tcPr>
            <w:tcW w:type="dxa" w:w="2088"/>
            <w:tcMar>
              <w:top w:w="90" w:type="dxa"/>
              <w:start w:w="100" w:type="dxa"/>
              <w:bottom w:w="90" w:type="dxa"/>
              <w:end w:w="100" w:type="dxa"/>
            </w:tcMar>
            <w:vAlign w:val="center"/>
            <w:shd w:fill="FAFBFC"/>
          </w:tcPr>
          <w:p>
            <w:pPr>
              <w:spacing w:after="0" w:line="247" w:lineRule="auto"/>
            </w:pPr>
            <w:r>
              <w:rPr>
                <w:rFonts w:ascii="Arial" w:hAnsi="Arial"/>
                <w:b/>
                <w:color w:val="1F2937"/>
                <w:sz w:val="17"/>
              </w:rPr>
              <w:t>Agent Studio</w:t>
            </w:r>
          </w:p>
        </w:tc>
        <w:tc>
          <w:tcPr>
            <w:tcW w:type="dxa" w:w="7848"/>
            <w:tcMar>
              <w:top w:w="90" w:type="dxa"/>
              <w:start w:w="100" w:type="dxa"/>
              <w:bottom w:w="90" w:type="dxa"/>
              <w:end w:w="100" w:type="dxa"/>
            </w:tcMar>
            <w:vAlign w:val="center"/>
            <w:shd w:fill="FAFBFC"/>
          </w:tcPr>
          <w:p>
            <w:pPr>
              <w:spacing w:after="0" w:line="247" w:lineRule="auto"/>
            </w:pPr>
            <w:r>
              <w:rPr>
                <w:rFonts w:ascii="Arial" w:hAnsi="Arial"/>
                <w:b w:val="0"/>
                <w:color w:val="1F2937"/>
                <w:sz w:val="17"/>
              </w:rPr>
              <w:t>Prompt, greeting, language, voice, workflow, tools, transfers, dynamic variables, versions, approvals and publish/rollback.</w:t>
            </w:r>
          </w:p>
        </w:tc>
      </w:tr>
      <w:tr>
        <w:tc>
          <w:tcPr>
            <w:tcW w:type="dxa" w:w="2088"/>
            <w:tcMar>
              <w:top w:w="90" w:type="dxa"/>
              <w:start w:w="100" w:type="dxa"/>
              <w:bottom w:w="90" w:type="dxa"/>
              <w:end w:w="100" w:type="dxa"/>
            </w:tcMar>
            <w:vAlign w:val="center"/>
          </w:tcPr>
          <w:p>
            <w:pPr>
              <w:spacing w:after="0" w:line="247" w:lineRule="auto"/>
            </w:pPr>
            <w:r>
              <w:rPr>
                <w:rFonts w:ascii="Arial" w:hAnsi="Arial"/>
                <w:b/>
                <w:color w:val="1F2937"/>
                <w:sz w:val="17"/>
              </w:rPr>
              <w:t>Knowledge Hub</w:t>
            </w:r>
          </w:p>
        </w:tc>
        <w:tc>
          <w:tcPr>
            <w:tcW w:type="dxa" w:w="7848"/>
            <w:tcMar>
              <w:top w:w="90" w:type="dxa"/>
              <w:start w:w="100" w:type="dxa"/>
              <w:bottom w:w="90" w:type="dxa"/>
              <w:end w:w="100" w:type="dxa"/>
            </w:tcMar>
            <w:vAlign w:val="center"/>
          </w:tcPr>
          <w:p>
            <w:pPr>
              <w:spacing w:after="0" w:line="247" w:lineRule="auto"/>
            </w:pPr>
            <w:r>
              <w:rPr>
                <w:rFonts w:ascii="Arial" w:hAnsi="Arial"/>
                <w:b w:val="0"/>
                <w:color w:val="1F2937"/>
                <w:sz w:val="17"/>
              </w:rPr>
              <w:t>Authoring, upload, metadata, owners, approval, synchronization, agent assignment, conflicts, expiry and test questions.</w:t>
            </w:r>
          </w:p>
        </w:tc>
      </w:tr>
      <w:tr>
        <w:tc>
          <w:tcPr>
            <w:tcW w:type="dxa" w:w="2088"/>
            <w:tcMar>
              <w:top w:w="90" w:type="dxa"/>
              <w:start w:w="100" w:type="dxa"/>
              <w:bottom w:w="90" w:type="dxa"/>
              <w:end w:w="100" w:type="dxa"/>
            </w:tcMar>
            <w:vAlign w:val="center"/>
            <w:shd w:fill="FAFBFC"/>
          </w:tcPr>
          <w:p>
            <w:pPr>
              <w:spacing w:after="0" w:line="247" w:lineRule="auto"/>
            </w:pPr>
            <w:r>
              <w:rPr>
                <w:rFonts w:ascii="Arial" w:hAnsi="Arial"/>
                <w:b/>
                <w:color w:val="1F2937"/>
                <w:sz w:val="17"/>
              </w:rPr>
              <w:t>Voice Library</w:t>
            </w:r>
          </w:p>
        </w:tc>
        <w:tc>
          <w:tcPr>
            <w:tcW w:type="dxa" w:w="7848"/>
            <w:tcMar>
              <w:top w:w="90" w:type="dxa"/>
              <w:start w:w="100" w:type="dxa"/>
              <w:bottom w:w="90" w:type="dxa"/>
              <w:end w:w="100" w:type="dxa"/>
            </w:tcMar>
            <w:vAlign w:val="center"/>
            <w:shd w:fill="FAFBFC"/>
          </w:tcPr>
          <w:p>
            <w:pPr>
              <w:spacing w:after="0" w:line="247" w:lineRule="auto"/>
            </w:pPr>
            <w:r>
              <w:rPr>
                <w:rFonts w:ascii="Arial" w:hAnsi="Arial"/>
                <w:b w:val="0"/>
                <w:color w:val="1F2937"/>
                <w:sz w:val="17"/>
              </w:rPr>
              <w:t>Search, filters, previews, comparison, language assignment, custom-voice governance and availability warnings.</w:t>
            </w:r>
          </w:p>
        </w:tc>
      </w:tr>
      <w:tr>
        <w:tc>
          <w:tcPr>
            <w:tcW w:type="dxa" w:w="2088"/>
            <w:tcMar>
              <w:top w:w="90" w:type="dxa"/>
              <w:start w:w="100" w:type="dxa"/>
              <w:bottom w:w="90" w:type="dxa"/>
              <w:end w:w="100" w:type="dxa"/>
            </w:tcMar>
            <w:vAlign w:val="center"/>
          </w:tcPr>
          <w:p>
            <w:pPr>
              <w:spacing w:after="0" w:line="247" w:lineRule="auto"/>
            </w:pPr>
            <w:r>
              <w:rPr>
                <w:rFonts w:ascii="Arial" w:hAnsi="Arial"/>
                <w:b/>
                <w:color w:val="1F2937"/>
                <w:sz w:val="17"/>
              </w:rPr>
              <w:t>Test Studio</w:t>
            </w:r>
          </w:p>
        </w:tc>
        <w:tc>
          <w:tcPr>
            <w:tcW w:type="dxa" w:w="7848"/>
            <w:tcMar>
              <w:top w:w="90" w:type="dxa"/>
              <w:start w:w="100" w:type="dxa"/>
              <w:bottom w:w="90" w:type="dxa"/>
              <w:end w:w="100" w:type="dxa"/>
            </w:tcMar>
            <w:vAlign w:val="center"/>
          </w:tcPr>
          <w:p>
            <w:pPr>
              <w:spacing w:after="0" w:line="247" w:lineRule="auto"/>
            </w:pPr>
            <w:r>
              <w:rPr>
                <w:rFonts w:ascii="Arial" w:hAnsi="Arial"/>
                <w:b w:val="0"/>
                <w:color w:val="1F2937"/>
                <w:sz w:val="17"/>
              </w:rPr>
              <w:t>Test library, scenario builder, run controls, repeated runs, result comparison, evidence and release gates.</w:t>
            </w:r>
          </w:p>
        </w:tc>
      </w:tr>
      <w:tr>
        <w:tc>
          <w:tcPr>
            <w:tcW w:type="dxa" w:w="2088"/>
            <w:tcMar>
              <w:top w:w="90" w:type="dxa"/>
              <w:start w:w="100" w:type="dxa"/>
              <w:bottom w:w="90" w:type="dxa"/>
              <w:end w:w="100" w:type="dxa"/>
            </w:tcMar>
            <w:vAlign w:val="center"/>
            <w:shd w:fill="FAFBFC"/>
          </w:tcPr>
          <w:p>
            <w:pPr>
              <w:spacing w:after="0" w:line="247" w:lineRule="auto"/>
            </w:pPr>
            <w:r>
              <w:rPr>
                <w:rFonts w:ascii="Arial" w:hAnsi="Arial"/>
                <w:b/>
                <w:color w:val="1F2937"/>
                <w:sz w:val="17"/>
              </w:rPr>
              <w:t>Calls</w:t>
            </w:r>
          </w:p>
        </w:tc>
        <w:tc>
          <w:tcPr>
            <w:tcW w:type="dxa" w:w="7848"/>
            <w:tcMar>
              <w:top w:w="90" w:type="dxa"/>
              <w:start w:w="100" w:type="dxa"/>
              <w:bottom w:w="90" w:type="dxa"/>
              <w:end w:w="100" w:type="dxa"/>
            </w:tcMar>
            <w:vAlign w:val="center"/>
            <w:shd w:fill="FAFBFC"/>
          </w:tcPr>
          <w:p>
            <w:pPr>
              <w:spacing w:after="0" w:line="247" w:lineRule="auto"/>
            </w:pPr>
            <w:r>
              <w:rPr>
                <w:rFonts w:ascii="Arial" w:hAnsi="Arial"/>
                <w:b w:val="0"/>
                <w:color w:val="1F2937"/>
                <w:sz w:val="17"/>
              </w:rPr>
              <w:t>Live/recent provider state where available, completed call list, filters, processing status and failures.</w:t>
            </w:r>
          </w:p>
        </w:tc>
      </w:tr>
      <w:tr>
        <w:tc>
          <w:tcPr>
            <w:tcW w:type="dxa" w:w="2088"/>
            <w:tcMar>
              <w:top w:w="90" w:type="dxa"/>
              <w:start w:w="100" w:type="dxa"/>
              <w:bottom w:w="90" w:type="dxa"/>
              <w:end w:w="100" w:type="dxa"/>
            </w:tcMar>
            <w:vAlign w:val="center"/>
          </w:tcPr>
          <w:p>
            <w:pPr>
              <w:spacing w:after="0" w:line="247" w:lineRule="auto"/>
            </w:pPr>
            <w:r>
              <w:rPr>
                <w:rFonts w:ascii="Arial" w:hAnsi="Arial"/>
                <w:b/>
                <w:color w:val="1F2937"/>
                <w:sz w:val="17"/>
              </w:rPr>
              <w:t>Call Detail</w:t>
            </w:r>
          </w:p>
        </w:tc>
        <w:tc>
          <w:tcPr>
            <w:tcW w:type="dxa" w:w="7848"/>
            <w:tcMar>
              <w:top w:w="90" w:type="dxa"/>
              <w:start w:w="100" w:type="dxa"/>
              <w:bottom w:w="90" w:type="dxa"/>
              <w:end w:w="100" w:type="dxa"/>
            </w:tcMar>
            <w:vAlign w:val="center"/>
          </w:tcPr>
          <w:p>
            <w:pPr>
              <w:spacing w:after="0" w:line="247" w:lineRule="auto"/>
            </w:pPr>
            <w:r>
              <w:rPr>
                <w:rFonts w:ascii="Arial" w:hAnsi="Arial"/>
                <w:b w:val="0"/>
                <w:color w:val="1F2937"/>
                <w:sz w:val="17"/>
              </w:rPr>
              <w:t>Transcript, summary, classification, timeline, provider metadata, tools, sources, customer link, messages, handoff, QA and audit.</w:t>
            </w:r>
          </w:p>
        </w:tc>
      </w:tr>
      <w:tr>
        <w:tc>
          <w:tcPr>
            <w:tcW w:type="dxa" w:w="2088"/>
            <w:tcMar>
              <w:top w:w="90" w:type="dxa"/>
              <w:start w:w="100" w:type="dxa"/>
              <w:bottom w:w="90" w:type="dxa"/>
              <w:end w:w="100" w:type="dxa"/>
            </w:tcMar>
            <w:vAlign w:val="center"/>
            <w:shd w:fill="FAFBFC"/>
          </w:tcPr>
          <w:p>
            <w:pPr>
              <w:spacing w:after="0" w:line="247" w:lineRule="auto"/>
            </w:pPr>
            <w:r>
              <w:rPr>
                <w:rFonts w:ascii="Arial" w:hAnsi="Arial"/>
                <w:b/>
                <w:color w:val="1F2937"/>
                <w:sz w:val="17"/>
              </w:rPr>
              <w:t>Operations</w:t>
            </w:r>
          </w:p>
        </w:tc>
        <w:tc>
          <w:tcPr>
            <w:tcW w:type="dxa" w:w="7848"/>
            <w:tcMar>
              <w:top w:w="90" w:type="dxa"/>
              <w:start w:w="100" w:type="dxa"/>
              <w:bottom w:w="90" w:type="dxa"/>
              <w:end w:w="100" w:type="dxa"/>
            </w:tcMar>
            <w:vAlign w:val="center"/>
            <w:shd w:fill="FAFBFC"/>
          </w:tcPr>
          <w:p>
            <w:pPr>
              <w:spacing w:after="0" w:line="247" w:lineRule="auto"/>
            </w:pPr>
            <w:r>
              <w:rPr>
                <w:rFonts w:ascii="Arial" w:hAnsi="Arial"/>
                <w:b w:val="0"/>
                <w:color w:val="1F2937"/>
                <w:sz w:val="17"/>
              </w:rPr>
              <w:t>Handoffs, callbacks, staff tasks, SLA timers, ownership, alerts and completion.</w:t>
            </w:r>
          </w:p>
        </w:tc>
      </w:tr>
      <w:tr>
        <w:tc>
          <w:tcPr>
            <w:tcW w:type="dxa" w:w="2088"/>
            <w:tcMar>
              <w:top w:w="90" w:type="dxa"/>
              <w:start w:w="100" w:type="dxa"/>
              <w:bottom w:w="90" w:type="dxa"/>
              <w:end w:w="100" w:type="dxa"/>
            </w:tcMar>
            <w:vAlign w:val="center"/>
          </w:tcPr>
          <w:p>
            <w:pPr>
              <w:spacing w:after="0" w:line="247" w:lineRule="auto"/>
            </w:pPr>
            <w:r>
              <w:rPr>
                <w:rFonts w:ascii="Arial" w:hAnsi="Arial"/>
                <w:b/>
                <w:color w:val="1F2937"/>
                <w:sz w:val="17"/>
              </w:rPr>
              <w:t>Analytics</w:t>
            </w:r>
          </w:p>
        </w:tc>
        <w:tc>
          <w:tcPr>
            <w:tcW w:type="dxa" w:w="7848"/>
            <w:tcMar>
              <w:top w:w="90" w:type="dxa"/>
              <w:start w:w="100" w:type="dxa"/>
              <w:bottom w:w="90" w:type="dxa"/>
              <w:end w:w="100" w:type="dxa"/>
            </w:tcMar>
            <w:vAlign w:val="center"/>
          </w:tcPr>
          <w:p>
            <w:pPr>
              <w:spacing w:after="0" w:line="247" w:lineRule="auto"/>
            </w:pPr>
            <w:r>
              <w:rPr>
                <w:rFonts w:ascii="Arial" w:hAnsi="Arial"/>
                <w:b w:val="0"/>
                <w:color w:val="1F2937"/>
                <w:sz w:val="17"/>
              </w:rPr>
              <w:t>Trends, knowledge gaps, repeat contact, park/language/intent mix, agent/version comparison, provider and cost performance.</w:t>
            </w:r>
          </w:p>
        </w:tc>
      </w:tr>
      <w:tr>
        <w:tc>
          <w:tcPr>
            <w:tcW w:type="dxa" w:w="2088"/>
            <w:tcMar>
              <w:top w:w="90" w:type="dxa"/>
              <w:start w:w="100" w:type="dxa"/>
              <w:bottom w:w="90" w:type="dxa"/>
              <w:end w:w="100" w:type="dxa"/>
            </w:tcMar>
            <w:vAlign w:val="center"/>
            <w:shd w:fill="FAFBFC"/>
          </w:tcPr>
          <w:p>
            <w:pPr>
              <w:spacing w:after="0" w:line="247" w:lineRule="auto"/>
            </w:pPr>
            <w:r>
              <w:rPr>
                <w:rFonts w:ascii="Arial" w:hAnsi="Arial"/>
                <w:b/>
                <w:color w:val="1F2937"/>
                <w:sz w:val="17"/>
              </w:rPr>
              <w:t>Reports</w:t>
            </w:r>
          </w:p>
        </w:tc>
        <w:tc>
          <w:tcPr>
            <w:tcW w:type="dxa" w:w="7848"/>
            <w:tcMar>
              <w:top w:w="90" w:type="dxa"/>
              <w:start w:w="100" w:type="dxa"/>
              <w:bottom w:w="90" w:type="dxa"/>
              <w:end w:w="100" w:type="dxa"/>
            </w:tcMar>
            <w:vAlign w:val="center"/>
            <w:shd w:fill="FAFBFC"/>
          </w:tcPr>
          <w:p>
            <w:pPr>
              <w:spacing w:after="0" w:line="247" w:lineRule="auto"/>
            </w:pPr>
            <w:r>
              <w:rPr>
                <w:rFonts w:ascii="Arial" w:hAnsi="Arial"/>
                <w:b w:val="0"/>
                <w:color w:val="1F2937"/>
                <w:sz w:val="17"/>
              </w:rPr>
              <w:t>Weekly, monthly, sensitive and content-backlog reports with controlled exports.</w:t>
            </w:r>
          </w:p>
        </w:tc>
      </w:tr>
      <w:tr>
        <w:tc>
          <w:tcPr>
            <w:tcW w:type="dxa" w:w="2088"/>
            <w:tcMar>
              <w:top w:w="90" w:type="dxa"/>
              <w:start w:w="100" w:type="dxa"/>
              <w:bottom w:w="90" w:type="dxa"/>
              <w:end w:w="100" w:type="dxa"/>
            </w:tcMar>
            <w:vAlign w:val="center"/>
          </w:tcPr>
          <w:p>
            <w:pPr>
              <w:spacing w:after="0" w:line="247" w:lineRule="auto"/>
            </w:pPr>
            <w:r>
              <w:rPr>
                <w:rFonts w:ascii="Arial" w:hAnsi="Arial"/>
                <w:b/>
                <w:color w:val="1F2937"/>
                <w:sz w:val="17"/>
              </w:rPr>
              <w:t>Administration</w:t>
            </w:r>
          </w:p>
        </w:tc>
        <w:tc>
          <w:tcPr>
            <w:tcW w:type="dxa" w:w="7848"/>
            <w:tcMar>
              <w:top w:w="90" w:type="dxa"/>
              <w:start w:w="100" w:type="dxa"/>
              <w:bottom w:w="90" w:type="dxa"/>
              <w:end w:w="100" w:type="dxa"/>
            </w:tcMar>
            <w:vAlign w:val="center"/>
          </w:tcPr>
          <w:p>
            <w:pPr>
              <w:spacing w:after="0" w:line="247" w:lineRule="auto"/>
            </w:pPr>
            <w:r>
              <w:rPr>
                <w:rFonts w:ascii="Arial" w:hAnsi="Arial"/>
                <w:b w:val="0"/>
                <w:color w:val="1F2937"/>
                <w:sz w:val="17"/>
              </w:rPr>
              <w:t>Users, roles, permissions, provider connection, secrets references, retention, webhooks, integrations, audit and readiness.</w:t>
            </w:r>
          </w:p>
        </w:tc>
      </w:tr>
    </w:tbl>
    <w:p>
      <w:pPr>
        <w:spacing w:after="40"/>
      </w:pPr>
    </w:p>
    <w:p>
      <w:pPr>
        <w:pStyle w:val="Heading2"/>
        <w:keepNext/>
      </w:pPr>
      <w:r>
        <w:rPr>
          <w:rFonts w:ascii="Arial" w:hAnsi="Arial"/>
        </w:rPr>
        <w:t>11.1 UX rules</w:t>
      </w:r>
    </w:p>
    <w:p>
      <w:pPr>
        <w:pStyle w:val="ListBullet"/>
        <w:spacing w:before="0" w:after="60" w:line="259" w:lineRule="auto"/>
      </w:pPr>
      <w:r>
        <w:rPr>
          <w:rFonts w:ascii="Arial" w:hAnsi="Arial"/>
          <w:sz w:val="20"/>
        </w:rPr>
        <w:t>Do not expose raw provider terminology when a clear Quantum Parks business term exists; retain provider IDs in advanced details.</w:t>
      </w:r>
    </w:p>
    <w:p>
      <w:pPr>
        <w:pStyle w:val="ListBullet"/>
        <w:spacing w:before="0" w:after="60" w:line="259" w:lineRule="auto"/>
      </w:pPr>
      <w:r>
        <w:rPr>
          <w:rFonts w:ascii="Arial" w:hAnsi="Arial"/>
          <w:sz w:val="20"/>
        </w:rPr>
        <w:t>Every publish, rollback, knowledge sync, test run and deletion action must show current state and evidence.</w:t>
      </w:r>
    </w:p>
    <w:p>
      <w:pPr>
        <w:pStyle w:val="ListBullet"/>
        <w:spacing w:before="0" w:after="60" w:line="259" w:lineRule="auto"/>
      </w:pPr>
      <w:r>
        <w:rPr>
          <w:rFonts w:ascii="Arial" w:hAnsi="Arial"/>
          <w:sz w:val="20"/>
        </w:rPr>
        <w:t>Provider or integration failures must be visible with the exact next operational step.</w:t>
      </w:r>
    </w:p>
    <w:p>
      <w:pPr>
        <w:pStyle w:val="ListBullet"/>
        <w:spacing w:before="0" w:after="60" w:line="259" w:lineRule="auto"/>
      </w:pPr>
      <w:r>
        <w:rPr>
          <w:rFonts w:ascii="Arial" w:hAnsi="Arial"/>
          <w:sz w:val="20"/>
        </w:rPr>
        <w:t>Dangerous changes require impact summaries and explicit confirmation, not generic confirmation dialogs.</w:t>
      </w:r>
    </w:p>
    <w:p>
      <w:pPr>
        <w:pStyle w:val="ListBullet"/>
        <w:spacing w:before="0" w:after="60" w:line="259" w:lineRule="auto"/>
      </w:pPr>
      <w:r>
        <w:rPr>
          <w:rFonts w:ascii="Arial" w:hAnsi="Arial"/>
          <w:sz w:val="20"/>
        </w:rPr>
        <w:t>Every data-driven page requires loading, empty, partial, degraded, forbidden and failure states.</w:t>
      </w:r>
    </w:p>
    <w:p>
      <w:pPr>
        <w:pStyle w:val="ListBullet"/>
        <w:spacing w:before="0" w:after="60" w:line="259" w:lineRule="auto"/>
      </w:pPr>
      <w:r>
        <w:rPr>
          <w:rFonts w:ascii="Arial" w:hAnsi="Arial"/>
          <w:sz w:val="20"/>
        </w:rPr>
        <w:t>Use Europe/Lisbon time and localized display while storing authoritative timestamps in UTC.</w:t>
      </w:r>
    </w:p>
    <w:p>
      <w:pPr>
        <w:pStyle w:val="ListBullet"/>
        <w:spacing w:before="0" w:after="60" w:line="259" w:lineRule="auto"/>
      </w:pPr>
      <w:r>
        <w:rPr>
          <w:rFonts w:ascii="Arial" w:hAnsi="Arial"/>
          <w:sz w:val="20"/>
        </w:rPr>
        <w:t>Mask phone numbers, emails, booking details and sensitive transcripts according to role and purpose.</w:t>
      </w:r>
    </w:p>
    <w:p>
      <w:pPr>
        <w:pStyle w:val="Heading1"/>
        <w:keepNext/>
        <w:pageBreakBefore w:val="0"/>
      </w:pPr>
      <w:r>
        <w:rPr>
          <w:rFonts w:ascii="Arial" w:hAnsi="Arial"/>
        </w:rPr>
        <w:t>12  Security, privacy and trust controls</w:t>
      </w:r>
    </w:p>
    <w:p>
      <w:pPr>
        <w:pStyle w:val="Heading2"/>
        <w:keepNext/>
      </w:pPr>
      <w:r>
        <w:rPr>
          <w:rFonts w:ascii="Arial" w:hAnsi="Arial"/>
        </w:rPr>
        <w:t>12.1 Provider credential security</w:t>
      </w:r>
    </w:p>
    <w:p>
      <w:pPr>
        <w:pStyle w:val="ListBullet"/>
        <w:spacing w:before="0" w:after="60" w:line="259" w:lineRule="auto"/>
      </w:pPr>
      <w:r>
        <w:rPr>
          <w:rFonts w:ascii="Arial" w:hAnsi="Arial"/>
          <w:sz w:val="20"/>
        </w:rPr>
        <w:t>Use a production service-account API key where available rather than a personal user key.</w:t>
      </w:r>
    </w:p>
    <w:p>
      <w:pPr>
        <w:pStyle w:val="ListBullet"/>
        <w:spacing w:before="0" w:after="60" w:line="259" w:lineRule="auto"/>
      </w:pPr>
      <w:r>
        <w:rPr>
          <w:rFonts w:ascii="Arial" w:hAnsi="Arial"/>
          <w:sz w:val="20"/>
        </w:rPr>
        <w:t>Restrict scopes, credit quota and source IPs where supported.</w:t>
      </w:r>
    </w:p>
    <w:p>
      <w:pPr>
        <w:pStyle w:val="ListBullet"/>
        <w:spacing w:before="0" w:after="60" w:line="259" w:lineRule="auto"/>
      </w:pPr>
      <w:r>
        <w:rPr>
          <w:rFonts w:ascii="Arial" w:hAnsi="Arial"/>
          <w:sz w:val="20"/>
        </w:rPr>
        <w:t>Store secrets only in an approved secret manager and rotate them without application downtime.</w:t>
      </w:r>
    </w:p>
    <w:p>
      <w:pPr>
        <w:pStyle w:val="ListBullet"/>
        <w:spacing w:before="0" w:after="60" w:line="259" w:lineRule="auto"/>
      </w:pPr>
      <w:r>
        <w:rPr>
          <w:rFonts w:ascii="Arial" w:hAnsi="Arial"/>
          <w:sz w:val="20"/>
        </w:rPr>
        <w:t>Do not place keys in the browser, client bundles, source control, logs, screenshots or exported configuration.</w:t>
      </w:r>
    </w:p>
    <w:p>
      <w:pPr>
        <w:pStyle w:val="Heading2"/>
        <w:keepNext/>
      </w:pPr>
      <w:r>
        <w:rPr>
          <w:rFonts w:ascii="Arial" w:hAnsi="Arial"/>
        </w:rPr>
        <w:t>12.2 Webhook and tool security</w:t>
      </w:r>
    </w:p>
    <w:p>
      <w:pPr>
        <w:pStyle w:val="ListBullet"/>
        <w:spacing w:before="0" w:after="60" w:line="259" w:lineRule="auto"/>
      </w:pPr>
      <w:r>
        <w:rPr>
          <w:rFonts w:ascii="Arial" w:hAnsi="Arial"/>
          <w:sz w:val="20"/>
        </w:rPr>
        <w:t>Validate provider webhook signatures or HMAC, event timestamp and replay window.</w:t>
      </w:r>
    </w:p>
    <w:p>
      <w:pPr>
        <w:pStyle w:val="ListBullet"/>
        <w:spacing w:before="0" w:after="60" w:line="259" w:lineRule="auto"/>
      </w:pPr>
      <w:r>
        <w:rPr>
          <w:rFonts w:ascii="Arial" w:hAnsi="Arial"/>
          <w:sz w:val="20"/>
        </w:rPr>
        <w:t>Use IP allowlisting as defense in depth where operationally appropriate, not as the sole authentication control.</w:t>
      </w:r>
    </w:p>
    <w:p>
      <w:pPr>
        <w:pStyle w:val="ListBullet"/>
        <w:spacing w:before="0" w:after="60" w:line="259" w:lineRule="auto"/>
      </w:pPr>
      <w:r>
        <w:rPr>
          <w:rFonts w:ascii="Arial" w:hAnsi="Arial"/>
          <w:sz w:val="20"/>
        </w:rPr>
        <w:t>Authenticate tool calls separately from post-call webhooks and apply per-tool authorization and rate limits.</w:t>
      </w:r>
    </w:p>
    <w:p>
      <w:pPr>
        <w:pStyle w:val="ListBullet"/>
        <w:spacing w:before="0" w:after="60" w:line="259" w:lineRule="auto"/>
      </w:pPr>
      <w:r>
        <w:rPr>
          <w:rFonts w:ascii="Arial" w:hAnsi="Arial"/>
          <w:sz w:val="20"/>
        </w:rPr>
        <w:t>Reject arbitrary URLs, tool names, methods or parameters derived from model output.</w:t>
      </w:r>
    </w:p>
    <w:p>
      <w:pPr>
        <w:pStyle w:val="ListBullet"/>
        <w:spacing w:before="0" w:after="60" w:line="259" w:lineRule="auto"/>
      </w:pPr>
      <w:r>
        <w:rPr>
          <w:rFonts w:ascii="Arial" w:hAnsi="Arial"/>
          <w:sz w:val="20"/>
        </w:rPr>
        <w:t>Keep public registration or customer forms isolated from the authenticated operations application.</w:t>
      </w:r>
    </w:p>
    <w:p>
      <w:pPr>
        <w:pStyle w:val="Heading2"/>
        <w:keepNext/>
      </w:pPr>
      <w:r>
        <w:rPr>
          <w:rFonts w:ascii="Arial" w:hAnsi="Arial"/>
        </w:rPr>
        <w:t>12.3 Transcript and call-data protection</w:t>
      </w:r>
    </w:p>
    <w:p>
      <w:pPr>
        <w:pStyle w:val="ListBullet"/>
        <w:spacing w:before="0" w:after="60" w:line="259" w:lineRule="auto"/>
      </w:pPr>
      <w:r>
        <w:rPr>
          <w:rFonts w:ascii="Arial" w:hAnsi="Arial"/>
          <w:sz w:val="20"/>
        </w:rPr>
        <w:t>Store minimum necessary call data with explicit classification and retention policies.</w:t>
      </w:r>
    </w:p>
    <w:p>
      <w:pPr>
        <w:pStyle w:val="ListBullet"/>
        <w:spacing w:before="0" w:after="60" w:line="259" w:lineRule="auto"/>
      </w:pPr>
      <w:r>
        <w:rPr>
          <w:rFonts w:ascii="Arial" w:hAnsi="Arial"/>
          <w:sz w:val="20"/>
        </w:rPr>
        <w:t>Keep raw provider evidence in a restricted store; expose the redacted canonical view by default.</w:t>
      </w:r>
    </w:p>
    <w:p>
      <w:pPr>
        <w:pStyle w:val="ListBullet"/>
        <w:spacing w:before="0" w:after="60" w:line="259" w:lineRule="auto"/>
      </w:pPr>
      <w:r>
        <w:rPr>
          <w:rFonts w:ascii="Arial" w:hAnsi="Arial"/>
          <w:sz w:val="20"/>
        </w:rPr>
        <w:t>Never request or intentionally store payment-card data. Agent instructions must interrupt and redirect callers who begin providing it.</w:t>
      </w:r>
    </w:p>
    <w:p>
      <w:pPr>
        <w:pStyle w:val="ListBullet"/>
        <w:spacing w:before="0" w:after="60" w:line="259" w:lineRule="auto"/>
      </w:pPr>
      <w:r>
        <w:rPr>
          <w:rFonts w:ascii="Arial" w:hAnsi="Arial"/>
          <w:sz w:val="20"/>
        </w:rPr>
        <w:t>Exclude unnecessary medical, insurance or safeguarding detail from general summaries and broad analytics.</w:t>
      </w:r>
    </w:p>
    <w:p>
      <w:pPr>
        <w:pStyle w:val="ListBullet"/>
        <w:spacing w:before="0" w:after="60" w:line="259" w:lineRule="auto"/>
      </w:pPr>
      <w:r>
        <w:rPr>
          <w:rFonts w:ascii="Arial" w:hAnsi="Arial"/>
          <w:sz w:val="20"/>
        </w:rPr>
        <w:t>Support data export, deletion, retention and legal hold according to approved policy and applicable obligations.</w:t>
      </w:r>
    </w:p>
    <w:p>
      <w:pPr>
        <w:pStyle w:val="ListBullet"/>
        <w:spacing w:before="0" w:after="60" w:line="259" w:lineRule="auto"/>
      </w:pPr>
      <w:r>
        <w:rPr>
          <w:rFonts w:ascii="Arial" w:hAnsi="Arial"/>
          <w:sz w:val="20"/>
        </w:rPr>
        <w:t>Do not use customer calls to train models unless a separate governance approval exists; default to provider no-training and minimum-retention settings where available.</w:t>
      </w:r>
    </w:p>
    <w:p>
      <w:pPr>
        <w:pStyle w:val="Heading2"/>
        <w:keepNext/>
      </w:pPr>
      <w:r>
        <w:rPr>
          <w:rFonts w:ascii="Arial" w:hAnsi="Arial"/>
        </w:rPr>
        <w:t>12.4 Custom voice controls</w:t>
      </w:r>
    </w:p>
    <w:p>
      <w:pPr>
        <w:pStyle w:val="ListBullet"/>
        <w:spacing w:before="0" w:after="60" w:line="259" w:lineRule="auto"/>
      </w:pPr>
      <w:r>
        <w:rPr>
          <w:rFonts w:ascii="Arial" w:hAnsi="Arial"/>
          <w:sz w:val="20"/>
        </w:rPr>
        <w:t>Require proof of speaker authorization and consent before creating or uploading a custom voice.</w:t>
      </w:r>
    </w:p>
    <w:p>
      <w:pPr>
        <w:pStyle w:val="ListBullet"/>
        <w:spacing w:before="0" w:after="60" w:line="259" w:lineRule="auto"/>
      </w:pPr>
      <w:r>
        <w:rPr>
          <w:rFonts w:ascii="Arial" w:hAnsi="Arial"/>
          <w:sz w:val="20"/>
        </w:rPr>
        <w:t>Restrict source audio, preview and voice management to specially authorized roles.</w:t>
      </w:r>
    </w:p>
    <w:p>
      <w:pPr>
        <w:pStyle w:val="ListBullet"/>
        <w:spacing w:before="0" w:after="60" w:line="259" w:lineRule="auto"/>
      </w:pPr>
      <w:r>
        <w:rPr>
          <w:rFonts w:ascii="Arial" w:hAnsi="Arial"/>
          <w:sz w:val="20"/>
        </w:rPr>
        <w:t>Record the voice owner, permitted use, expiry/review date and provider verification state.</w:t>
      </w:r>
    </w:p>
    <w:p>
      <w:pPr>
        <w:pStyle w:val="ListBullet"/>
        <w:spacing w:before="0" w:after="60" w:line="259" w:lineRule="auto"/>
      </w:pPr>
      <w:r>
        <w:rPr>
          <w:rFonts w:ascii="Arial" w:hAnsi="Arial"/>
          <w:sz w:val="20"/>
        </w:rPr>
        <w:t>Disable or remove a voice promptly when consent or permission is withdrawn.</w:t>
      </w:r>
    </w:p>
    <w:p>
      <w:pPr>
        <w:pStyle w:val="Heading2"/>
        <w:keepNext/>
      </w:pPr>
      <w:r>
        <w:rPr>
          <w:rFonts w:ascii="Arial" w:hAnsi="Arial"/>
        </w:rPr>
        <w:t>12.5 Content and release trust</w:t>
      </w:r>
    </w:p>
    <w:p>
      <w:pPr>
        <w:pStyle w:val="ListBullet"/>
        <w:spacing w:before="0" w:after="60" w:line="259" w:lineRule="auto"/>
      </w:pPr>
      <w:r>
        <w:rPr>
          <w:rFonts w:ascii="Arial" w:hAnsi="Arial"/>
          <w:sz w:val="20"/>
        </w:rPr>
        <w:t>High-risk content requires enhanced approval and targeted tests.</w:t>
      </w:r>
    </w:p>
    <w:p>
      <w:pPr>
        <w:pStyle w:val="ListBullet"/>
        <w:spacing w:before="0" w:after="60" w:line="259" w:lineRule="auto"/>
      </w:pPr>
      <w:r>
        <w:rPr>
          <w:rFonts w:ascii="Arial" w:hAnsi="Arial"/>
          <w:sz w:val="20"/>
        </w:rPr>
        <w:t>Knowledge retrieved from websites or uploaded files is treated as data, not executable instruction.</w:t>
      </w:r>
    </w:p>
    <w:p>
      <w:pPr>
        <w:pStyle w:val="ListBullet"/>
        <w:spacing w:before="0" w:after="60" w:line="259" w:lineRule="auto"/>
      </w:pPr>
      <w:r>
        <w:rPr>
          <w:rFonts w:ascii="Arial" w:hAnsi="Arial"/>
          <w:sz w:val="20"/>
        </w:rPr>
        <w:t>No unreviewed call trend or generated recommendation may update the production agent automatically.</w:t>
      </w:r>
    </w:p>
    <w:p>
      <w:pPr>
        <w:pStyle w:val="ListBullet"/>
        <w:spacing w:before="0" w:after="60" w:line="259" w:lineRule="auto"/>
      </w:pPr>
      <w:r>
        <w:rPr>
          <w:rFonts w:ascii="Arial" w:hAnsi="Arial"/>
          <w:sz w:val="20"/>
        </w:rPr>
        <w:t>Production readiness fails when required agent, knowledge, voice, test or provider state is draft, synthetic, unavailable or out of sync.</w:t>
      </w:r>
    </w:p>
    <w:p>
      <w:pPr>
        <w:pStyle w:val="Heading1"/>
        <w:keepNext/>
        <w:pageBreakBefore w:val="0"/>
      </w:pPr>
      <w:r>
        <w:rPr>
          <w:rFonts w:ascii="Arial" w:hAnsi="Arial"/>
        </w:rPr>
        <w:t>13  Analytics, reporting and intelligence</w:t>
      </w:r>
    </w:p>
    <w:p>
      <w:pPr>
        <w:pStyle w:val="Heading2"/>
        <w:keepNext/>
      </w:pPr>
      <w:r>
        <w:rPr>
          <w:rFonts w:ascii="Arial" w:hAnsi="Arial"/>
        </w:rPr>
        <w:t>13.1 Per-call intelligence</w:t>
      </w:r>
    </w:p>
    <w:p>
      <w:pPr>
        <w:pStyle w:val="ListBullet"/>
        <w:spacing w:before="0" w:after="60" w:line="259" w:lineRule="auto"/>
      </w:pPr>
      <w:r>
        <w:rPr>
          <w:rFonts w:ascii="Arial" w:hAnsi="Arial"/>
          <w:sz w:val="20"/>
        </w:rPr>
        <w:t>Call identity, provider conversation, agent/version, date, duration, phone route and processing state.</w:t>
      </w:r>
    </w:p>
    <w:p>
      <w:pPr>
        <w:pStyle w:val="ListBullet"/>
        <w:spacing w:before="0" w:after="60" w:line="259" w:lineRule="auto"/>
      </w:pPr>
      <w:r>
        <w:rPr>
          <w:rFonts w:ascii="Arial" w:hAnsi="Arial"/>
          <w:sz w:val="20"/>
        </w:rPr>
        <w:t>Canonical transcript, language, park, speaker turns, tool calls and redaction markers.</w:t>
      </w:r>
    </w:p>
    <w:p>
      <w:pPr>
        <w:pStyle w:val="ListBullet"/>
        <w:spacing w:before="0" w:after="60" w:line="259" w:lineRule="auto"/>
      </w:pPr>
      <w:r>
        <w:rPr>
          <w:rFonts w:ascii="Arial" w:hAnsi="Arial"/>
          <w:sz w:val="20"/>
        </w:rPr>
        <w:t>Purpose, primary and secondary intents, topics, entities, outcome, unresolved items and follow-up need.</w:t>
      </w:r>
    </w:p>
    <w:p>
      <w:pPr>
        <w:pStyle w:val="ListBullet"/>
        <w:spacing w:before="0" w:after="60" w:line="259" w:lineRule="auto"/>
      </w:pPr>
      <w:r>
        <w:rPr>
          <w:rFonts w:ascii="Arial" w:hAnsi="Arial"/>
          <w:sz w:val="20"/>
        </w:rPr>
        <w:t>Customer/booking/support linkage method, confidence and verification state.</w:t>
      </w:r>
    </w:p>
    <w:p>
      <w:pPr>
        <w:pStyle w:val="ListBullet"/>
        <w:spacing w:before="0" w:after="60" w:line="259" w:lineRule="auto"/>
      </w:pPr>
      <w:r>
        <w:rPr>
          <w:rFonts w:ascii="Arial" w:hAnsi="Arial"/>
          <w:sz w:val="20"/>
        </w:rPr>
        <w:t>Human transfer, callback, task, WhatsApp/SMS delivery and digital-next-step status.</w:t>
      </w:r>
    </w:p>
    <w:p>
      <w:pPr>
        <w:pStyle w:val="ListBullet"/>
        <w:spacing w:before="0" w:after="60" w:line="259" w:lineRule="auto"/>
      </w:pPr>
      <w:r>
        <w:rPr>
          <w:rFonts w:ascii="Arial" w:hAnsi="Arial"/>
          <w:sz w:val="20"/>
        </w:rPr>
        <w:t>Knowledge and agent version associated with the call where available.</w:t>
      </w:r>
    </w:p>
    <w:p>
      <w:pPr>
        <w:pStyle w:val="ListBullet"/>
        <w:spacing w:before="0" w:after="60" w:line="259" w:lineRule="auto"/>
      </w:pPr>
      <w:r>
        <w:rPr>
          <w:rFonts w:ascii="Arial" w:hAnsi="Arial"/>
          <w:sz w:val="20"/>
        </w:rPr>
        <w:t>Provider and Quantum Parks quality indicators, including transcript completeness and correction history.</w:t>
      </w:r>
    </w:p>
    <w:p>
      <w:pPr>
        <w:pStyle w:val="Heading2"/>
        <w:keepNext/>
      </w:pPr>
      <w:r>
        <w:rPr>
          <w:rFonts w:ascii="Arial" w:hAnsi="Arial"/>
        </w:rPr>
        <w:t>13.2 Required trend views</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2376"/>
        <w:gridCol w:w="7560"/>
      </w:tblGrid>
      <w:tr>
        <w:trPr>
          <w:tblHeader w:val="true"/>
        </w:trPr>
        <w:tc>
          <w:tcPr>
            <w:tcW w:type="dxa" w:w="2376"/>
            <w:shd w:fill="12304A"/>
            <w:tcMar>
              <w:top w:w="100" w:type="dxa"/>
              <w:start w:w="100" w:type="dxa"/>
              <w:bottom w:w="100" w:type="dxa"/>
              <w:end w:w="100" w:type="dxa"/>
            </w:tcMar>
            <w:vAlign w:val="center"/>
          </w:tcPr>
          <w:p>
            <w:pPr>
              <w:spacing w:after="0"/>
              <w:jc w:val="center"/>
            </w:pPr>
            <w:r>
              <w:rPr>
                <w:rFonts w:ascii="Arial" w:hAnsi="Arial"/>
                <w:b/>
                <w:color w:val="FFFFFF"/>
                <w:sz w:val="18"/>
              </w:rPr>
              <w:t>Trend area</w:t>
            </w:r>
          </w:p>
        </w:tc>
        <w:tc>
          <w:tcPr>
            <w:tcW w:type="dxa" w:w="7560"/>
            <w:shd w:fill="12304A"/>
            <w:tcMar>
              <w:top w:w="100" w:type="dxa"/>
              <w:start w:w="100" w:type="dxa"/>
              <w:bottom w:w="100" w:type="dxa"/>
              <w:end w:w="100" w:type="dxa"/>
            </w:tcMar>
            <w:vAlign w:val="center"/>
          </w:tcPr>
          <w:p>
            <w:pPr>
              <w:spacing w:after="0"/>
              <w:jc w:val="center"/>
            </w:pPr>
            <w:r>
              <w:rPr>
                <w:rFonts w:ascii="Arial" w:hAnsi="Arial"/>
                <w:b/>
                <w:color w:val="FFFFFF"/>
                <w:sz w:val="18"/>
              </w:rPr>
              <w:t>Management question</w:t>
            </w:r>
          </w:p>
        </w:tc>
      </w:tr>
      <w:tr>
        <w:tc>
          <w:tcPr>
            <w:tcW w:type="dxa" w:w="2376"/>
            <w:tcMar>
              <w:top w:w="90" w:type="dxa"/>
              <w:start w:w="100" w:type="dxa"/>
              <w:bottom w:w="90" w:type="dxa"/>
              <w:end w:w="100" w:type="dxa"/>
            </w:tcMar>
            <w:vAlign w:val="center"/>
          </w:tcPr>
          <w:p>
            <w:pPr>
              <w:spacing w:after="0" w:line="247" w:lineRule="auto"/>
            </w:pPr>
            <w:r>
              <w:rPr>
                <w:rFonts w:ascii="Arial" w:hAnsi="Arial"/>
                <w:b/>
                <w:color w:val="1F2937"/>
                <w:sz w:val="17"/>
              </w:rPr>
              <w:t>Demand</w:t>
            </w:r>
          </w:p>
        </w:tc>
        <w:tc>
          <w:tcPr>
            <w:tcW w:type="dxa" w:w="7560"/>
            <w:tcMar>
              <w:top w:w="90" w:type="dxa"/>
              <w:start w:w="100" w:type="dxa"/>
              <w:bottom w:w="90" w:type="dxa"/>
              <w:end w:w="100" w:type="dxa"/>
            </w:tcMar>
            <w:vAlign w:val="center"/>
          </w:tcPr>
          <w:p>
            <w:pPr>
              <w:spacing w:after="0" w:line="247" w:lineRule="auto"/>
            </w:pPr>
            <w:r>
              <w:rPr>
                <w:rFonts w:ascii="Arial" w:hAnsi="Arial"/>
                <w:b w:val="0"/>
                <w:color w:val="1F2937"/>
                <w:sz w:val="17"/>
              </w:rPr>
              <w:t>Why are customers calling and what is growing fastest?</w:t>
            </w:r>
          </w:p>
        </w:tc>
      </w:tr>
      <w:tr>
        <w:tc>
          <w:tcPr>
            <w:tcW w:type="dxa" w:w="2376"/>
            <w:tcMar>
              <w:top w:w="90" w:type="dxa"/>
              <w:start w:w="100" w:type="dxa"/>
              <w:bottom w:w="90" w:type="dxa"/>
              <w:end w:w="100" w:type="dxa"/>
            </w:tcMar>
            <w:vAlign w:val="center"/>
            <w:shd w:fill="FAFBFC"/>
          </w:tcPr>
          <w:p>
            <w:pPr>
              <w:spacing w:after="0" w:line="247" w:lineRule="auto"/>
            </w:pPr>
            <w:r>
              <w:rPr>
                <w:rFonts w:ascii="Arial" w:hAnsi="Arial"/>
                <w:b/>
                <w:color w:val="1F2937"/>
                <w:sz w:val="17"/>
              </w:rPr>
              <w:t>Park operations</w:t>
            </w:r>
          </w:p>
        </w:tc>
        <w:tc>
          <w:tcPr>
            <w:tcW w:type="dxa" w:w="7560"/>
            <w:tcMar>
              <w:top w:w="90" w:type="dxa"/>
              <w:start w:w="100" w:type="dxa"/>
              <w:bottom w:w="90" w:type="dxa"/>
              <w:end w:w="100" w:type="dxa"/>
            </w:tcMar>
            <w:vAlign w:val="center"/>
            <w:shd w:fill="FAFBFC"/>
          </w:tcPr>
          <w:p>
            <w:pPr>
              <w:spacing w:after="0" w:line="247" w:lineRule="auto"/>
            </w:pPr>
            <w:r>
              <w:rPr>
                <w:rFonts w:ascii="Arial" w:hAnsi="Arial"/>
                <w:b w:val="0"/>
                <w:color w:val="1F2937"/>
                <w:sz w:val="17"/>
              </w:rPr>
              <w:t>Which locations generate the most calls, confusion, complaints or unresolved requests?</w:t>
            </w:r>
          </w:p>
        </w:tc>
      </w:tr>
      <w:tr>
        <w:tc>
          <w:tcPr>
            <w:tcW w:type="dxa" w:w="2376"/>
            <w:tcMar>
              <w:top w:w="90" w:type="dxa"/>
              <w:start w:w="100" w:type="dxa"/>
              <w:bottom w:w="90" w:type="dxa"/>
              <w:end w:w="100" w:type="dxa"/>
            </w:tcMar>
            <w:vAlign w:val="center"/>
          </w:tcPr>
          <w:p>
            <w:pPr>
              <w:spacing w:after="0" w:line="247" w:lineRule="auto"/>
            </w:pPr>
            <w:r>
              <w:rPr>
                <w:rFonts w:ascii="Arial" w:hAnsi="Arial"/>
                <w:b/>
                <w:color w:val="1F2937"/>
                <w:sz w:val="17"/>
              </w:rPr>
              <w:t>Language</w:t>
            </w:r>
          </w:p>
        </w:tc>
        <w:tc>
          <w:tcPr>
            <w:tcW w:type="dxa" w:w="7560"/>
            <w:tcMar>
              <w:top w:w="90" w:type="dxa"/>
              <w:start w:w="100" w:type="dxa"/>
              <w:bottom w:w="90" w:type="dxa"/>
              <w:end w:w="100" w:type="dxa"/>
            </w:tcMar>
            <w:vAlign w:val="center"/>
          </w:tcPr>
          <w:p>
            <w:pPr>
              <w:spacing w:after="0" w:line="247" w:lineRule="auto"/>
            </w:pPr>
            <w:r>
              <w:rPr>
                <w:rFonts w:ascii="Arial" w:hAnsi="Arial"/>
                <w:b w:val="0"/>
                <w:color w:val="1F2937"/>
                <w:sz w:val="17"/>
              </w:rPr>
              <w:t>Which languages are used, and where do quality or handoff rates differ?</w:t>
            </w:r>
          </w:p>
        </w:tc>
      </w:tr>
      <w:tr>
        <w:tc>
          <w:tcPr>
            <w:tcW w:type="dxa" w:w="2376"/>
            <w:tcMar>
              <w:top w:w="90" w:type="dxa"/>
              <w:start w:w="100" w:type="dxa"/>
              <w:bottom w:w="90" w:type="dxa"/>
              <w:end w:w="100" w:type="dxa"/>
            </w:tcMar>
            <w:vAlign w:val="center"/>
            <w:shd w:fill="FAFBFC"/>
          </w:tcPr>
          <w:p>
            <w:pPr>
              <w:spacing w:after="0" w:line="247" w:lineRule="auto"/>
            </w:pPr>
            <w:r>
              <w:rPr>
                <w:rFonts w:ascii="Arial" w:hAnsi="Arial"/>
                <w:b/>
                <w:color w:val="1F2937"/>
                <w:sz w:val="17"/>
              </w:rPr>
              <w:t>Knowledge</w:t>
            </w:r>
          </w:p>
        </w:tc>
        <w:tc>
          <w:tcPr>
            <w:tcW w:type="dxa" w:w="7560"/>
            <w:tcMar>
              <w:top w:w="90" w:type="dxa"/>
              <w:start w:w="100" w:type="dxa"/>
              <w:bottom w:w="90" w:type="dxa"/>
              <w:end w:w="100" w:type="dxa"/>
            </w:tcMar>
            <w:vAlign w:val="center"/>
            <w:shd w:fill="FAFBFC"/>
          </w:tcPr>
          <w:p>
            <w:pPr>
              <w:spacing w:after="0" w:line="247" w:lineRule="auto"/>
            </w:pPr>
            <w:r>
              <w:rPr>
                <w:rFonts w:ascii="Arial" w:hAnsi="Arial"/>
                <w:b w:val="0"/>
                <w:color w:val="1F2937"/>
                <w:sz w:val="17"/>
              </w:rPr>
              <w:t>Which questions are unanswered, repeatedly clarified, based on stale content or missing from the knowledge base?</w:t>
            </w:r>
          </w:p>
        </w:tc>
      </w:tr>
      <w:tr>
        <w:tc>
          <w:tcPr>
            <w:tcW w:type="dxa" w:w="2376"/>
            <w:tcMar>
              <w:top w:w="90" w:type="dxa"/>
              <w:start w:w="100" w:type="dxa"/>
              <w:bottom w:w="90" w:type="dxa"/>
              <w:end w:w="100" w:type="dxa"/>
            </w:tcMar>
            <w:vAlign w:val="center"/>
          </w:tcPr>
          <w:p>
            <w:pPr>
              <w:spacing w:after="0" w:line="247" w:lineRule="auto"/>
            </w:pPr>
            <w:r>
              <w:rPr>
                <w:rFonts w:ascii="Arial" w:hAnsi="Arial"/>
                <w:b/>
                <w:color w:val="1F2937"/>
                <w:sz w:val="17"/>
              </w:rPr>
              <w:t>Digital journey</w:t>
            </w:r>
          </w:p>
        </w:tc>
        <w:tc>
          <w:tcPr>
            <w:tcW w:type="dxa" w:w="7560"/>
            <w:tcMar>
              <w:top w:w="90" w:type="dxa"/>
              <w:start w:w="100" w:type="dxa"/>
              <w:bottom w:w="90" w:type="dxa"/>
              <w:end w:w="100" w:type="dxa"/>
            </w:tcMar>
            <w:vAlign w:val="center"/>
          </w:tcPr>
          <w:p>
            <w:pPr>
              <w:spacing w:after="0" w:line="247" w:lineRule="auto"/>
            </w:pPr>
            <w:r>
              <w:rPr>
                <w:rFonts w:ascii="Arial" w:hAnsi="Arial"/>
                <w:b w:val="0"/>
                <w:color w:val="1F2937"/>
                <w:sz w:val="17"/>
              </w:rPr>
              <w:t>Which links are sent, delivered, opened and followed by registration or booking activity?</w:t>
            </w:r>
          </w:p>
        </w:tc>
      </w:tr>
      <w:tr>
        <w:tc>
          <w:tcPr>
            <w:tcW w:type="dxa" w:w="2376"/>
            <w:tcMar>
              <w:top w:w="90" w:type="dxa"/>
              <w:start w:w="100" w:type="dxa"/>
              <w:bottom w:w="90" w:type="dxa"/>
              <w:end w:w="100" w:type="dxa"/>
            </w:tcMar>
            <w:vAlign w:val="center"/>
            <w:shd w:fill="FAFBFC"/>
          </w:tcPr>
          <w:p>
            <w:pPr>
              <w:spacing w:after="0" w:line="247" w:lineRule="auto"/>
            </w:pPr>
            <w:r>
              <w:rPr>
                <w:rFonts w:ascii="Arial" w:hAnsi="Arial"/>
                <w:b/>
                <w:color w:val="1F2937"/>
                <w:sz w:val="17"/>
              </w:rPr>
              <w:t>Customer continuity</w:t>
            </w:r>
          </w:p>
        </w:tc>
        <w:tc>
          <w:tcPr>
            <w:tcW w:type="dxa" w:w="7560"/>
            <w:tcMar>
              <w:top w:w="90" w:type="dxa"/>
              <w:start w:w="100" w:type="dxa"/>
              <w:bottom w:w="90" w:type="dxa"/>
              <w:end w:w="100" w:type="dxa"/>
            </w:tcMar>
            <w:vAlign w:val="center"/>
            <w:shd w:fill="FAFBFC"/>
          </w:tcPr>
          <w:p>
            <w:pPr>
              <w:spacing w:after="0" w:line="247" w:lineRule="auto"/>
            </w:pPr>
            <w:r>
              <w:rPr>
                <w:rFonts w:ascii="Arial" w:hAnsi="Arial"/>
                <w:b w:val="0"/>
                <w:color w:val="1F2937"/>
                <w:sz w:val="17"/>
              </w:rPr>
              <w:t>Where are callers repeating contact after email, Zendesk or previous calls?</w:t>
            </w:r>
          </w:p>
        </w:tc>
      </w:tr>
      <w:tr>
        <w:tc>
          <w:tcPr>
            <w:tcW w:type="dxa" w:w="2376"/>
            <w:tcMar>
              <w:top w:w="90" w:type="dxa"/>
              <w:start w:w="100" w:type="dxa"/>
              <w:bottom w:w="90" w:type="dxa"/>
              <w:end w:w="100" w:type="dxa"/>
            </w:tcMar>
            <w:vAlign w:val="center"/>
          </w:tcPr>
          <w:p>
            <w:pPr>
              <w:spacing w:after="0" w:line="247" w:lineRule="auto"/>
            </w:pPr>
            <w:r>
              <w:rPr>
                <w:rFonts w:ascii="Arial" w:hAnsi="Arial"/>
                <w:b/>
                <w:color w:val="1F2937"/>
                <w:sz w:val="17"/>
              </w:rPr>
              <w:t>Agent quality</w:t>
            </w:r>
          </w:p>
        </w:tc>
        <w:tc>
          <w:tcPr>
            <w:tcW w:type="dxa" w:w="7560"/>
            <w:tcMar>
              <w:top w:w="90" w:type="dxa"/>
              <w:start w:w="100" w:type="dxa"/>
              <w:bottom w:w="90" w:type="dxa"/>
              <w:end w:w="100" w:type="dxa"/>
            </w:tcMar>
            <w:vAlign w:val="center"/>
          </w:tcPr>
          <w:p>
            <w:pPr>
              <w:spacing w:after="0" w:line="247" w:lineRule="auto"/>
            </w:pPr>
            <w:r>
              <w:rPr>
                <w:rFonts w:ascii="Arial" w:hAnsi="Arial"/>
                <w:b w:val="0"/>
                <w:color w:val="1F2937"/>
                <w:sz w:val="17"/>
              </w:rPr>
              <w:t>How do containment, transfer, failure, correction and test results vary by agent or knowledge version?</w:t>
            </w:r>
          </w:p>
        </w:tc>
      </w:tr>
      <w:tr>
        <w:tc>
          <w:tcPr>
            <w:tcW w:type="dxa" w:w="2376"/>
            <w:tcMar>
              <w:top w:w="90" w:type="dxa"/>
              <w:start w:w="100" w:type="dxa"/>
              <w:bottom w:w="90" w:type="dxa"/>
              <w:end w:w="100" w:type="dxa"/>
            </w:tcMar>
            <w:vAlign w:val="center"/>
            <w:shd w:fill="FAFBFC"/>
          </w:tcPr>
          <w:p>
            <w:pPr>
              <w:spacing w:after="0" w:line="247" w:lineRule="auto"/>
            </w:pPr>
            <w:r>
              <w:rPr>
                <w:rFonts w:ascii="Arial" w:hAnsi="Arial"/>
                <w:b/>
                <w:color w:val="1F2937"/>
                <w:sz w:val="17"/>
              </w:rPr>
              <w:t>Commercial opportunity</w:t>
            </w:r>
          </w:p>
        </w:tc>
        <w:tc>
          <w:tcPr>
            <w:tcW w:type="dxa" w:w="7560"/>
            <w:tcMar>
              <w:top w:w="90" w:type="dxa"/>
              <w:start w:w="100" w:type="dxa"/>
              <w:bottom w:w="90" w:type="dxa"/>
              <w:end w:w="100" w:type="dxa"/>
            </w:tcMar>
            <w:vAlign w:val="center"/>
            <w:shd w:fill="FAFBFC"/>
          </w:tcPr>
          <w:p>
            <w:pPr>
              <w:spacing w:after="0" w:line="247" w:lineRule="auto"/>
            </w:pPr>
            <w:r>
              <w:rPr>
                <w:rFonts w:ascii="Arial" w:hAnsi="Arial"/>
                <w:b w:val="0"/>
                <w:color w:val="1F2937"/>
                <w:sz w:val="17"/>
              </w:rPr>
              <w:t>Which packages, extras, price questions or unmet requests appear frequently?</w:t>
            </w:r>
          </w:p>
        </w:tc>
      </w:tr>
      <w:tr>
        <w:tc>
          <w:tcPr>
            <w:tcW w:type="dxa" w:w="2376"/>
            <w:tcMar>
              <w:top w:w="90" w:type="dxa"/>
              <w:start w:w="100" w:type="dxa"/>
              <w:bottom w:w="90" w:type="dxa"/>
              <w:end w:w="100" w:type="dxa"/>
            </w:tcMar>
            <w:vAlign w:val="center"/>
          </w:tcPr>
          <w:p>
            <w:pPr>
              <w:spacing w:after="0" w:line="247" w:lineRule="auto"/>
            </w:pPr>
            <w:r>
              <w:rPr>
                <w:rFonts w:ascii="Arial" w:hAnsi="Arial"/>
                <w:b/>
                <w:color w:val="1F2937"/>
                <w:sz w:val="17"/>
              </w:rPr>
              <w:t>Provider performance</w:t>
            </w:r>
          </w:p>
        </w:tc>
        <w:tc>
          <w:tcPr>
            <w:tcW w:type="dxa" w:w="7560"/>
            <w:tcMar>
              <w:top w:w="90" w:type="dxa"/>
              <w:start w:w="100" w:type="dxa"/>
              <w:bottom w:w="90" w:type="dxa"/>
              <w:end w:w="100" w:type="dxa"/>
            </w:tcMar>
            <w:vAlign w:val="center"/>
          </w:tcPr>
          <w:p>
            <w:pPr>
              <w:spacing w:after="0" w:line="247" w:lineRule="auto"/>
            </w:pPr>
            <w:r>
              <w:rPr>
                <w:rFonts w:ascii="Arial" w:hAnsi="Arial"/>
                <w:b w:val="0"/>
                <w:color w:val="1F2937"/>
                <w:sz w:val="17"/>
              </w:rPr>
              <w:t>What are provider errors, webhook delays, synchronization failures, usage and cost trends?</w:t>
            </w:r>
          </w:p>
        </w:tc>
      </w:tr>
    </w:tbl>
    <w:p>
      <w:pPr>
        <w:spacing w:after="40"/>
      </w:pPr>
    </w:p>
    <w:p>
      <w:pPr>
        <w:pStyle w:val="Heading2"/>
        <w:keepNext/>
      </w:pPr>
      <w:r>
        <w:rPr>
          <w:rFonts w:ascii="Arial" w:hAnsi="Arial"/>
        </w:rPr>
        <w:t>13.3 Scheduled reports</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2304"/>
        <w:gridCol w:w="7632"/>
      </w:tblGrid>
      <w:tr>
        <w:trPr>
          <w:tblHeader w:val="true"/>
        </w:trPr>
        <w:tc>
          <w:tcPr>
            <w:tcW w:type="dxa" w:w="2304"/>
            <w:shd w:fill="12304A"/>
            <w:tcMar>
              <w:top w:w="100" w:type="dxa"/>
              <w:start w:w="100" w:type="dxa"/>
              <w:bottom w:w="100" w:type="dxa"/>
              <w:end w:w="100" w:type="dxa"/>
            </w:tcMar>
            <w:vAlign w:val="center"/>
          </w:tcPr>
          <w:p>
            <w:pPr>
              <w:spacing w:after="0"/>
              <w:jc w:val="center"/>
            </w:pPr>
            <w:r>
              <w:rPr>
                <w:rFonts w:ascii="Arial" w:hAnsi="Arial"/>
                <w:b/>
                <w:color w:val="FFFFFF"/>
                <w:sz w:val="18"/>
              </w:rPr>
              <w:t>Report</w:t>
            </w:r>
          </w:p>
        </w:tc>
        <w:tc>
          <w:tcPr>
            <w:tcW w:type="dxa" w:w="7632"/>
            <w:shd w:fill="12304A"/>
            <w:tcMar>
              <w:top w:w="100" w:type="dxa"/>
              <w:start w:w="100" w:type="dxa"/>
              <w:bottom w:w="100" w:type="dxa"/>
              <w:end w:w="100" w:type="dxa"/>
            </w:tcMar>
            <w:vAlign w:val="center"/>
          </w:tcPr>
          <w:p>
            <w:pPr>
              <w:spacing w:after="0"/>
              <w:jc w:val="center"/>
            </w:pPr>
            <w:r>
              <w:rPr>
                <w:rFonts w:ascii="Arial" w:hAnsi="Arial"/>
                <w:b/>
                <w:color w:val="FFFFFF"/>
                <w:sz w:val="18"/>
              </w:rPr>
              <w:t>Minimum content</w:t>
            </w:r>
          </w:p>
        </w:tc>
      </w:tr>
      <w:tr>
        <w:tc>
          <w:tcPr>
            <w:tcW w:type="dxa" w:w="2304"/>
            <w:tcMar>
              <w:top w:w="90" w:type="dxa"/>
              <w:start w:w="100" w:type="dxa"/>
              <w:bottom w:w="90" w:type="dxa"/>
              <w:end w:w="100" w:type="dxa"/>
            </w:tcMar>
            <w:vAlign w:val="center"/>
          </w:tcPr>
          <w:p>
            <w:pPr>
              <w:spacing w:after="0" w:line="247" w:lineRule="auto"/>
            </w:pPr>
            <w:r>
              <w:rPr>
                <w:rFonts w:ascii="Arial" w:hAnsi="Arial"/>
                <w:b/>
                <w:color w:val="1F2937"/>
                <w:sz w:val="17"/>
              </w:rPr>
              <w:t>Weekly operational</w:t>
            </w:r>
          </w:p>
        </w:tc>
        <w:tc>
          <w:tcPr>
            <w:tcW w:type="dxa" w:w="7632"/>
            <w:tcMar>
              <w:top w:w="90" w:type="dxa"/>
              <w:start w:w="100" w:type="dxa"/>
              <w:bottom w:w="90" w:type="dxa"/>
              <w:end w:w="100" w:type="dxa"/>
            </w:tcMar>
            <w:vAlign w:val="center"/>
          </w:tcPr>
          <w:p>
            <w:pPr>
              <w:spacing w:after="0" w:line="247" w:lineRule="auto"/>
            </w:pPr>
            <w:r>
              <w:rPr>
                <w:rFonts w:ascii="Arial" w:hAnsi="Arial"/>
                <w:b w:val="0"/>
                <w:color w:val="1F2937"/>
                <w:sz w:val="17"/>
              </w:rPr>
              <w:t>Volume, call reasons, transfers, unresolved calls, failed processing, failed syncs, failed messages, urgent tasks, knowledge gaps and owners.</w:t>
            </w:r>
          </w:p>
        </w:tc>
      </w:tr>
      <w:tr>
        <w:tc>
          <w:tcPr>
            <w:tcW w:type="dxa" w:w="2304"/>
            <w:tcMar>
              <w:top w:w="90" w:type="dxa"/>
              <w:start w:w="100" w:type="dxa"/>
              <w:bottom w:w="90" w:type="dxa"/>
              <w:end w:w="100" w:type="dxa"/>
            </w:tcMar>
            <w:vAlign w:val="center"/>
            <w:shd w:fill="FAFBFC"/>
          </w:tcPr>
          <w:p>
            <w:pPr>
              <w:spacing w:after="0" w:line="247" w:lineRule="auto"/>
            </w:pPr>
            <w:r>
              <w:rPr>
                <w:rFonts w:ascii="Arial" w:hAnsi="Arial"/>
                <w:b/>
                <w:color w:val="1F2937"/>
                <w:sz w:val="17"/>
              </w:rPr>
              <w:t>Monthly strategic</w:t>
            </w:r>
          </w:p>
        </w:tc>
        <w:tc>
          <w:tcPr>
            <w:tcW w:type="dxa" w:w="7632"/>
            <w:tcMar>
              <w:top w:w="90" w:type="dxa"/>
              <w:start w:w="100" w:type="dxa"/>
              <w:bottom w:w="90" w:type="dxa"/>
              <w:end w:w="100" w:type="dxa"/>
            </w:tcMar>
            <w:vAlign w:val="center"/>
            <w:shd w:fill="FAFBFC"/>
          </w:tcPr>
          <w:p>
            <w:pPr>
              <w:spacing w:after="0" w:line="247" w:lineRule="auto"/>
            </w:pPr>
            <w:r>
              <w:rPr>
                <w:rFonts w:ascii="Arial" w:hAnsi="Arial"/>
                <w:b w:val="0"/>
                <w:color w:val="1F2937"/>
                <w:sz w:val="17"/>
              </w:rPr>
              <w:t>Trend comparison, park differences, language demand, repeat contacts, digital conversion, service friction, quality, provider usage/cost and recommended experiments.</w:t>
            </w:r>
          </w:p>
        </w:tc>
      </w:tr>
      <w:tr>
        <w:tc>
          <w:tcPr>
            <w:tcW w:type="dxa" w:w="2304"/>
            <w:tcMar>
              <w:top w:w="90" w:type="dxa"/>
              <w:start w:w="100" w:type="dxa"/>
              <w:bottom w:w="90" w:type="dxa"/>
              <w:end w:w="100" w:type="dxa"/>
            </w:tcMar>
            <w:vAlign w:val="center"/>
          </w:tcPr>
          <w:p>
            <w:pPr>
              <w:spacing w:after="0" w:line="247" w:lineRule="auto"/>
            </w:pPr>
            <w:r>
              <w:rPr>
                <w:rFonts w:ascii="Arial" w:hAnsi="Arial"/>
                <w:b/>
                <w:color w:val="1F2937"/>
                <w:sz w:val="17"/>
              </w:rPr>
              <w:t>Restricted sensitive</w:t>
            </w:r>
          </w:p>
        </w:tc>
        <w:tc>
          <w:tcPr>
            <w:tcW w:type="dxa" w:w="7632"/>
            <w:tcMar>
              <w:top w:w="90" w:type="dxa"/>
              <w:start w:w="100" w:type="dxa"/>
              <w:bottom w:w="90" w:type="dxa"/>
              <w:end w:w="100" w:type="dxa"/>
            </w:tcMar>
            <w:vAlign w:val="center"/>
          </w:tcPr>
          <w:p>
            <w:pPr>
              <w:spacing w:after="0" w:line="247" w:lineRule="auto"/>
            </w:pPr>
            <w:r>
              <w:rPr>
                <w:rFonts w:ascii="Arial" w:hAnsi="Arial"/>
                <w:b w:val="0"/>
                <w:color w:val="1F2937"/>
                <w:sz w:val="17"/>
              </w:rPr>
              <w:t>Sensitive-routing volume, SLA and process failures without unnecessary personal detail.</w:t>
            </w:r>
          </w:p>
        </w:tc>
      </w:tr>
      <w:tr>
        <w:tc>
          <w:tcPr>
            <w:tcW w:type="dxa" w:w="2304"/>
            <w:tcMar>
              <w:top w:w="90" w:type="dxa"/>
              <w:start w:w="100" w:type="dxa"/>
              <w:bottom w:w="90" w:type="dxa"/>
              <w:end w:w="100" w:type="dxa"/>
            </w:tcMar>
            <w:vAlign w:val="center"/>
            <w:shd w:fill="FAFBFC"/>
          </w:tcPr>
          <w:p>
            <w:pPr>
              <w:spacing w:after="0" w:line="247" w:lineRule="auto"/>
            </w:pPr>
            <w:r>
              <w:rPr>
                <w:rFonts w:ascii="Arial" w:hAnsi="Arial"/>
                <w:b/>
                <w:color w:val="1F2937"/>
                <w:sz w:val="17"/>
              </w:rPr>
              <w:t>Content improvement backlog</w:t>
            </w:r>
          </w:p>
        </w:tc>
        <w:tc>
          <w:tcPr>
            <w:tcW w:type="dxa" w:w="7632"/>
            <w:tcMar>
              <w:top w:w="90" w:type="dxa"/>
              <w:start w:w="100" w:type="dxa"/>
              <w:bottom w:w="90" w:type="dxa"/>
              <w:end w:w="100" w:type="dxa"/>
            </w:tcMar>
            <w:vAlign w:val="center"/>
            <w:shd w:fill="FAFBFC"/>
          </w:tcPr>
          <w:p>
            <w:pPr>
              <w:spacing w:after="0" w:line="247" w:lineRule="auto"/>
            </w:pPr>
            <w:r>
              <w:rPr>
                <w:rFonts w:ascii="Arial" w:hAnsi="Arial"/>
                <w:b w:val="0"/>
                <w:color w:val="1F2937"/>
                <w:sz w:val="17"/>
              </w:rPr>
              <w:t>Unanswered or repeated questions, supporting frequency, redacted examples, affected park/language, proposed owner and status.</w:t>
            </w:r>
          </w:p>
        </w:tc>
      </w:tr>
      <w:tr>
        <w:tc>
          <w:tcPr>
            <w:tcW w:type="dxa" w:w="2304"/>
            <w:tcMar>
              <w:top w:w="90" w:type="dxa"/>
              <w:start w:w="100" w:type="dxa"/>
              <w:bottom w:w="90" w:type="dxa"/>
              <w:end w:w="100" w:type="dxa"/>
            </w:tcMar>
            <w:vAlign w:val="center"/>
          </w:tcPr>
          <w:p>
            <w:pPr>
              <w:spacing w:after="0" w:line="247" w:lineRule="auto"/>
            </w:pPr>
            <w:r>
              <w:rPr>
                <w:rFonts w:ascii="Arial" w:hAnsi="Arial"/>
                <w:b/>
                <w:color w:val="1F2937"/>
                <w:sz w:val="17"/>
              </w:rPr>
              <w:t>Agent release quality</w:t>
            </w:r>
          </w:p>
        </w:tc>
        <w:tc>
          <w:tcPr>
            <w:tcW w:type="dxa" w:w="7632"/>
            <w:tcMar>
              <w:top w:w="90" w:type="dxa"/>
              <w:start w:w="100" w:type="dxa"/>
              <w:bottom w:w="90" w:type="dxa"/>
              <w:end w:w="100" w:type="dxa"/>
            </w:tcMar>
            <w:vAlign w:val="center"/>
          </w:tcPr>
          <w:p>
            <w:pPr>
              <w:spacing w:after="0" w:line="247" w:lineRule="auto"/>
            </w:pPr>
            <w:r>
              <w:rPr>
                <w:rFonts w:ascii="Arial" w:hAnsi="Arial"/>
                <w:b w:val="0"/>
                <w:color w:val="1F2937"/>
                <w:sz w:val="17"/>
              </w:rPr>
              <w:t>Current version, changes, test results, live correction rate, knowledge drift, provider issues and rollback readiness.</w:t>
            </w:r>
          </w:p>
        </w:tc>
      </w:tr>
    </w:tbl>
    <w:p>
      <w:pPr>
        <w:spacing w:after="40"/>
      </w:pPr>
    </w:p>
    <w:p>
      <w:pPr>
        <w:pStyle w:val="Heading2"/>
        <w:keepNext/>
      </w:pPr>
      <w:r>
        <w:rPr>
          <w:rFonts w:ascii="Arial" w:hAnsi="Arial"/>
        </w:rPr>
        <w:t>13.4 Intelligence governance</w:t>
      </w:r>
    </w:p>
    <w:p>
      <w:pPr>
        <w:spacing w:before="0" w:after="120" w:line="259" w:lineRule="auto"/>
      </w:pPr>
      <w:r>
        <w:rPr>
          <w:rFonts w:ascii="Arial" w:hAnsi="Arial"/>
          <w:i w:val="0"/>
        </w:rPr>
        <w:t>Model-generated recommendations must be labeled as recommendations, supported by aggregated evidence and reviewed by an authorized person. The platform must distinguish verified facts, statistical indicators, inferred customer links and model-generated interpretation. No recommendation may publish directly to the live agent.</w:t>
      </w:r>
    </w:p>
    <w:p>
      <w:pPr>
        <w:pStyle w:val="Heading1"/>
        <w:keepNext/>
        <w:pageBreakBefore w:val="0"/>
      </w:pPr>
      <w:r>
        <w:rPr>
          <w:rFonts w:ascii="Arial" w:hAnsi="Arial"/>
        </w:rPr>
        <w:t>14  Success measures</w:t>
      </w:r>
    </w:p>
    <w:p>
      <w:pPr>
        <w:pStyle w:val="Heading2"/>
        <w:keepNext/>
      </w:pPr>
      <w:r>
        <w:rPr>
          <w:rFonts w:ascii="Arial" w:hAnsi="Arial"/>
        </w:rPr>
        <w:t>14.1 Business and product KPIs</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2664"/>
        <w:gridCol w:w="7272"/>
      </w:tblGrid>
      <w:tr>
        <w:trPr>
          <w:tblHeader w:val="true"/>
        </w:trPr>
        <w:tc>
          <w:tcPr>
            <w:tcW w:type="dxa" w:w="2664"/>
            <w:shd w:fill="12304A"/>
            <w:tcMar>
              <w:top w:w="100" w:type="dxa"/>
              <w:start w:w="100" w:type="dxa"/>
              <w:bottom w:w="100" w:type="dxa"/>
              <w:end w:w="100" w:type="dxa"/>
            </w:tcMar>
            <w:vAlign w:val="center"/>
          </w:tcPr>
          <w:p>
            <w:pPr>
              <w:spacing w:after="0"/>
              <w:jc w:val="center"/>
            </w:pPr>
            <w:r>
              <w:rPr>
                <w:rFonts w:ascii="Arial" w:hAnsi="Arial"/>
                <w:b/>
                <w:color w:val="FFFFFF"/>
                <w:sz w:val="18"/>
              </w:rPr>
              <w:t>KPI</w:t>
            </w:r>
          </w:p>
        </w:tc>
        <w:tc>
          <w:tcPr>
            <w:tcW w:type="dxa" w:w="7272"/>
            <w:shd w:fill="12304A"/>
            <w:tcMar>
              <w:top w:w="100" w:type="dxa"/>
              <w:start w:w="100" w:type="dxa"/>
              <w:bottom w:w="100" w:type="dxa"/>
              <w:end w:w="100" w:type="dxa"/>
            </w:tcMar>
            <w:vAlign w:val="center"/>
          </w:tcPr>
          <w:p>
            <w:pPr>
              <w:spacing w:after="0"/>
              <w:jc w:val="center"/>
            </w:pPr>
            <w:r>
              <w:rPr>
                <w:rFonts w:ascii="Arial" w:hAnsi="Arial"/>
                <w:b/>
                <w:color w:val="FFFFFF"/>
                <w:sz w:val="18"/>
              </w:rPr>
              <w:t>Definition</w:t>
            </w:r>
          </w:p>
        </w:tc>
      </w:tr>
      <w:tr>
        <w:tc>
          <w:tcPr>
            <w:tcW w:type="dxa" w:w="2664"/>
            <w:tcMar>
              <w:top w:w="90" w:type="dxa"/>
              <w:start w:w="100" w:type="dxa"/>
              <w:bottom w:w="90" w:type="dxa"/>
              <w:end w:w="100" w:type="dxa"/>
            </w:tcMar>
            <w:vAlign w:val="center"/>
          </w:tcPr>
          <w:p>
            <w:pPr>
              <w:spacing w:after="0" w:line="247" w:lineRule="auto"/>
            </w:pPr>
            <w:r>
              <w:rPr>
                <w:rFonts w:ascii="Arial" w:hAnsi="Arial"/>
                <w:b/>
                <w:color w:val="1F2937"/>
                <w:sz w:val="17"/>
              </w:rPr>
              <w:t>Telephone availability</w:t>
            </w:r>
          </w:p>
        </w:tc>
        <w:tc>
          <w:tcPr>
            <w:tcW w:type="dxa" w:w="7272"/>
            <w:tcMar>
              <w:top w:w="90" w:type="dxa"/>
              <w:start w:w="100" w:type="dxa"/>
              <w:bottom w:w="90" w:type="dxa"/>
              <w:end w:w="100" w:type="dxa"/>
            </w:tcMar>
            <w:vAlign w:val="center"/>
          </w:tcPr>
          <w:p>
            <w:pPr>
              <w:spacing w:after="0" w:line="247" w:lineRule="auto"/>
            </w:pPr>
            <w:r>
              <w:rPr>
                <w:rFonts w:ascii="Arial" w:hAnsi="Arial"/>
                <w:b w:val="0"/>
                <w:color w:val="1F2937"/>
                <w:sz w:val="17"/>
              </w:rPr>
              <w:t>Share of successfully routed calls answered by the ElevenLabs receptionist during configured hours.</w:t>
            </w:r>
          </w:p>
        </w:tc>
      </w:tr>
      <w:tr>
        <w:tc>
          <w:tcPr>
            <w:tcW w:type="dxa" w:w="2664"/>
            <w:tcMar>
              <w:top w:w="90" w:type="dxa"/>
              <w:start w:w="100" w:type="dxa"/>
              <w:bottom w:w="90" w:type="dxa"/>
              <w:end w:w="100" w:type="dxa"/>
            </w:tcMar>
            <w:vAlign w:val="center"/>
            <w:shd w:fill="FAFBFC"/>
          </w:tcPr>
          <w:p>
            <w:pPr>
              <w:spacing w:after="0" w:line="247" w:lineRule="auto"/>
            </w:pPr>
            <w:r>
              <w:rPr>
                <w:rFonts w:ascii="Arial" w:hAnsi="Arial"/>
                <w:b/>
                <w:color w:val="1F2937"/>
                <w:sz w:val="17"/>
              </w:rPr>
              <w:t>Call intelligence completion</w:t>
            </w:r>
          </w:p>
        </w:tc>
        <w:tc>
          <w:tcPr>
            <w:tcW w:type="dxa" w:w="7272"/>
            <w:tcMar>
              <w:top w:w="90" w:type="dxa"/>
              <w:start w:w="100" w:type="dxa"/>
              <w:bottom w:w="90" w:type="dxa"/>
              <w:end w:w="100" w:type="dxa"/>
            </w:tcMar>
            <w:vAlign w:val="center"/>
            <w:shd w:fill="FAFBFC"/>
          </w:tcPr>
          <w:p>
            <w:pPr>
              <w:spacing w:after="0" w:line="247" w:lineRule="auto"/>
            </w:pPr>
            <w:r>
              <w:rPr>
                <w:rFonts w:ascii="Arial" w:hAnsi="Arial"/>
                <w:b w:val="0"/>
                <w:color w:val="1F2937"/>
                <w:sz w:val="17"/>
              </w:rPr>
              <w:t>Share of eligible calls with canonical transcript, summary, classification and outcome.</w:t>
            </w:r>
          </w:p>
        </w:tc>
      </w:tr>
      <w:tr>
        <w:tc>
          <w:tcPr>
            <w:tcW w:type="dxa" w:w="2664"/>
            <w:tcMar>
              <w:top w:w="90" w:type="dxa"/>
              <w:start w:w="100" w:type="dxa"/>
              <w:bottom w:w="90" w:type="dxa"/>
              <w:end w:w="100" w:type="dxa"/>
            </w:tcMar>
            <w:vAlign w:val="center"/>
          </w:tcPr>
          <w:p>
            <w:pPr>
              <w:spacing w:after="0" w:line="247" w:lineRule="auto"/>
            </w:pPr>
            <w:r>
              <w:rPr>
                <w:rFonts w:ascii="Arial" w:hAnsi="Arial"/>
                <w:b/>
                <w:color w:val="1F2937"/>
                <w:sz w:val="17"/>
              </w:rPr>
              <w:t>Routine resolution</w:t>
            </w:r>
          </w:p>
        </w:tc>
        <w:tc>
          <w:tcPr>
            <w:tcW w:type="dxa" w:w="7272"/>
            <w:tcMar>
              <w:top w:w="90" w:type="dxa"/>
              <w:start w:w="100" w:type="dxa"/>
              <w:bottom w:w="90" w:type="dxa"/>
              <w:end w:w="100" w:type="dxa"/>
            </w:tcMar>
            <w:vAlign w:val="center"/>
          </w:tcPr>
          <w:p>
            <w:pPr>
              <w:spacing w:after="0" w:line="247" w:lineRule="auto"/>
            </w:pPr>
            <w:r>
              <w:rPr>
                <w:rFonts w:ascii="Arial" w:hAnsi="Arial"/>
                <w:b w:val="0"/>
                <w:color w:val="1F2937"/>
                <w:sz w:val="17"/>
              </w:rPr>
              <w:t>Share of approved routine enquiries resolved without human intervention, after baseline validation.</w:t>
            </w:r>
          </w:p>
        </w:tc>
      </w:tr>
      <w:tr>
        <w:tc>
          <w:tcPr>
            <w:tcW w:type="dxa" w:w="2664"/>
            <w:tcMar>
              <w:top w:w="90" w:type="dxa"/>
              <w:start w:w="100" w:type="dxa"/>
              <w:bottom w:w="90" w:type="dxa"/>
              <w:end w:w="100" w:type="dxa"/>
            </w:tcMar>
            <w:vAlign w:val="center"/>
            <w:shd w:fill="FAFBFC"/>
          </w:tcPr>
          <w:p>
            <w:pPr>
              <w:spacing w:after="0" w:line="247" w:lineRule="auto"/>
            </w:pPr>
            <w:r>
              <w:rPr>
                <w:rFonts w:ascii="Arial" w:hAnsi="Arial"/>
                <w:b/>
                <w:color w:val="1F2937"/>
                <w:sz w:val="17"/>
              </w:rPr>
              <w:t>Human handoff quality</w:t>
            </w:r>
          </w:p>
        </w:tc>
        <w:tc>
          <w:tcPr>
            <w:tcW w:type="dxa" w:w="7272"/>
            <w:tcMar>
              <w:top w:w="90" w:type="dxa"/>
              <w:start w:w="100" w:type="dxa"/>
              <w:bottom w:w="90" w:type="dxa"/>
              <w:end w:w="100" w:type="dxa"/>
            </w:tcMar>
            <w:vAlign w:val="center"/>
            <w:shd w:fill="FAFBFC"/>
          </w:tcPr>
          <w:p>
            <w:pPr>
              <w:spacing w:after="0" w:line="247" w:lineRule="auto"/>
            </w:pPr>
            <w:r>
              <w:rPr>
                <w:rFonts w:ascii="Arial" w:hAnsi="Arial"/>
                <w:b w:val="0"/>
                <w:color w:val="1F2937"/>
                <w:sz w:val="17"/>
              </w:rPr>
              <w:t>Transfer success, handoff latency, callback fallback and context completeness.</w:t>
            </w:r>
          </w:p>
        </w:tc>
      </w:tr>
      <w:tr>
        <w:tc>
          <w:tcPr>
            <w:tcW w:type="dxa" w:w="2664"/>
            <w:tcMar>
              <w:top w:w="90" w:type="dxa"/>
              <w:start w:w="100" w:type="dxa"/>
              <w:bottom w:w="90" w:type="dxa"/>
              <w:end w:w="100" w:type="dxa"/>
            </w:tcMar>
            <w:vAlign w:val="center"/>
          </w:tcPr>
          <w:p>
            <w:pPr>
              <w:spacing w:after="0" w:line="247" w:lineRule="auto"/>
            </w:pPr>
            <w:r>
              <w:rPr>
                <w:rFonts w:ascii="Arial" w:hAnsi="Arial"/>
                <w:b/>
                <w:color w:val="1F2937"/>
                <w:sz w:val="17"/>
              </w:rPr>
              <w:t>Knowledge effectiveness</w:t>
            </w:r>
          </w:p>
        </w:tc>
        <w:tc>
          <w:tcPr>
            <w:tcW w:type="dxa" w:w="7272"/>
            <w:tcMar>
              <w:top w:w="90" w:type="dxa"/>
              <w:start w:w="100" w:type="dxa"/>
              <w:bottom w:w="90" w:type="dxa"/>
              <w:end w:w="100" w:type="dxa"/>
            </w:tcMar>
            <w:vAlign w:val="center"/>
          </w:tcPr>
          <w:p>
            <w:pPr>
              <w:spacing w:after="0" w:line="247" w:lineRule="auto"/>
            </w:pPr>
            <w:r>
              <w:rPr>
                <w:rFonts w:ascii="Arial" w:hAnsi="Arial"/>
                <w:b w:val="0"/>
                <w:color w:val="1F2937"/>
                <w:sz w:val="17"/>
              </w:rPr>
              <w:t>Answer accuracy, no-answer rate, repeated clarification, stale/conflict rate and linked test pass rate.</w:t>
            </w:r>
          </w:p>
        </w:tc>
      </w:tr>
      <w:tr>
        <w:tc>
          <w:tcPr>
            <w:tcW w:type="dxa" w:w="2664"/>
            <w:tcMar>
              <w:top w:w="90" w:type="dxa"/>
              <w:start w:w="100" w:type="dxa"/>
              <w:bottom w:w="90" w:type="dxa"/>
              <w:end w:w="100" w:type="dxa"/>
            </w:tcMar>
            <w:vAlign w:val="center"/>
            <w:shd w:fill="FAFBFC"/>
          </w:tcPr>
          <w:p>
            <w:pPr>
              <w:spacing w:after="0" w:line="247" w:lineRule="auto"/>
            </w:pPr>
            <w:r>
              <w:rPr>
                <w:rFonts w:ascii="Arial" w:hAnsi="Arial"/>
                <w:b/>
                <w:color w:val="1F2937"/>
                <w:sz w:val="17"/>
              </w:rPr>
              <w:t>Configuration governance</w:t>
            </w:r>
          </w:p>
        </w:tc>
        <w:tc>
          <w:tcPr>
            <w:tcW w:type="dxa" w:w="7272"/>
            <w:tcMar>
              <w:top w:w="90" w:type="dxa"/>
              <w:start w:w="100" w:type="dxa"/>
              <w:bottom w:w="90" w:type="dxa"/>
              <w:end w:w="100" w:type="dxa"/>
            </w:tcMar>
            <w:vAlign w:val="center"/>
            <w:shd w:fill="FAFBFC"/>
          </w:tcPr>
          <w:p>
            <w:pPr>
              <w:spacing w:after="0" w:line="247" w:lineRule="auto"/>
            </w:pPr>
            <w:r>
              <w:rPr>
                <w:rFonts w:ascii="Arial" w:hAnsi="Arial"/>
                <w:b w:val="0"/>
                <w:color w:val="1F2937"/>
                <w:sz w:val="17"/>
              </w:rPr>
              <w:t>Percentage of active versions with complete approvals, tests and synchronization evidence.</w:t>
            </w:r>
          </w:p>
        </w:tc>
      </w:tr>
      <w:tr>
        <w:tc>
          <w:tcPr>
            <w:tcW w:type="dxa" w:w="2664"/>
            <w:tcMar>
              <w:top w:w="90" w:type="dxa"/>
              <w:start w:w="100" w:type="dxa"/>
              <w:bottom w:w="90" w:type="dxa"/>
              <w:end w:w="100" w:type="dxa"/>
            </w:tcMar>
            <w:vAlign w:val="center"/>
          </w:tcPr>
          <w:p>
            <w:pPr>
              <w:spacing w:after="0" w:line="247" w:lineRule="auto"/>
            </w:pPr>
            <w:r>
              <w:rPr>
                <w:rFonts w:ascii="Arial" w:hAnsi="Arial"/>
                <w:b/>
                <w:color w:val="1F2937"/>
                <w:sz w:val="17"/>
              </w:rPr>
              <w:t>Customer continuity</w:t>
            </w:r>
          </w:p>
        </w:tc>
        <w:tc>
          <w:tcPr>
            <w:tcW w:type="dxa" w:w="7272"/>
            <w:tcMar>
              <w:top w:w="90" w:type="dxa"/>
              <w:start w:w="100" w:type="dxa"/>
              <w:bottom w:w="90" w:type="dxa"/>
              <w:end w:w="100" w:type="dxa"/>
            </w:tcMar>
            <w:vAlign w:val="center"/>
          </w:tcPr>
          <w:p>
            <w:pPr>
              <w:spacing w:after="0" w:line="247" w:lineRule="auto"/>
            </w:pPr>
            <w:r>
              <w:rPr>
                <w:rFonts w:ascii="Arial" w:hAnsi="Arial"/>
                <w:b w:val="0"/>
                <w:color w:val="1F2937"/>
                <w:sz w:val="17"/>
              </w:rPr>
              <w:t>Repeat-contact and cross-channel ping-pong rate.</w:t>
            </w:r>
          </w:p>
        </w:tc>
      </w:tr>
      <w:tr>
        <w:tc>
          <w:tcPr>
            <w:tcW w:type="dxa" w:w="2664"/>
            <w:tcMar>
              <w:top w:w="90" w:type="dxa"/>
              <w:start w:w="100" w:type="dxa"/>
              <w:bottom w:w="90" w:type="dxa"/>
              <w:end w:w="100" w:type="dxa"/>
            </w:tcMar>
            <w:vAlign w:val="center"/>
            <w:shd w:fill="FAFBFC"/>
          </w:tcPr>
          <w:p>
            <w:pPr>
              <w:spacing w:after="0" w:line="247" w:lineRule="auto"/>
            </w:pPr>
            <w:r>
              <w:rPr>
                <w:rFonts w:ascii="Arial" w:hAnsi="Arial"/>
                <w:b/>
                <w:color w:val="1F2937"/>
                <w:sz w:val="17"/>
              </w:rPr>
              <w:t>Digital follow-up</w:t>
            </w:r>
          </w:p>
        </w:tc>
        <w:tc>
          <w:tcPr>
            <w:tcW w:type="dxa" w:w="7272"/>
            <w:tcMar>
              <w:top w:w="90" w:type="dxa"/>
              <w:start w:w="100" w:type="dxa"/>
              <w:bottom w:w="90" w:type="dxa"/>
              <w:end w:w="100" w:type="dxa"/>
            </w:tcMar>
            <w:vAlign w:val="center"/>
            <w:shd w:fill="FAFBFC"/>
          </w:tcPr>
          <w:p>
            <w:pPr>
              <w:spacing w:after="0" w:line="247" w:lineRule="auto"/>
            </w:pPr>
            <w:r>
              <w:rPr>
                <w:rFonts w:ascii="Arial" w:hAnsi="Arial"/>
                <w:b w:val="0"/>
                <w:color w:val="1F2937"/>
                <w:sz w:val="17"/>
              </w:rPr>
              <w:t>Message delivery, link click, account completion and booking-page arrival.</w:t>
            </w:r>
          </w:p>
        </w:tc>
      </w:tr>
      <w:tr>
        <w:tc>
          <w:tcPr>
            <w:tcW w:type="dxa" w:w="2664"/>
            <w:tcMar>
              <w:top w:w="90" w:type="dxa"/>
              <w:start w:w="100" w:type="dxa"/>
              <w:bottom w:w="90" w:type="dxa"/>
              <w:end w:w="100" w:type="dxa"/>
            </w:tcMar>
            <w:vAlign w:val="center"/>
          </w:tcPr>
          <w:p>
            <w:pPr>
              <w:spacing w:after="0" w:line="247" w:lineRule="auto"/>
            </w:pPr>
            <w:r>
              <w:rPr>
                <w:rFonts w:ascii="Arial" w:hAnsi="Arial"/>
                <w:b/>
                <w:color w:val="1F2937"/>
                <w:sz w:val="17"/>
              </w:rPr>
              <w:t>Operational efficiency</w:t>
            </w:r>
          </w:p>
        </w:tc>
        <w:tc>
          <w:tcPr>
            <w:tcW w:type="dxa" w:w="7272"/>
            <w:tcMar>
              <w:top w:w="90" w:type="dxa"/>
              <w:start w:w="100" w:type="dxa"/>
              <w:bottom w:w="90" w:type="dxa"/>
              <w:end w:w="100" w:type="dxa"/>
            </w:tcMar>
            <w:vAlign w:val="center"/>
          </w:tcPr>
          <w:p>
            <w:pPr>
              <w:spacing w:after="0" w:line="247" w:lineRule="auto"/>
            </w:pPr>
            <w:r>
              <w:rPr>
                <w:rFonts w:ascii="Arial" w:hAnsi="Arial"/>
                <w:b w:val="0"/>
                <w:color w:val="1F2937"/>
                <w:sz w:val="17"/>
              </w:rPr>
              <w:t>Reduction in front-desk phone interruption and manual call logging.</w:t>
            </w:r>
          </w:p>
        </w:tc>
      </w:tr>
      <w:tr>
        <w:tc>
          <w:tcPr>
            <w:tcW w:type="dxa" w:w="2664"/>
            <w:tcMar>
              <w:top w:w="90" w:type="dxa"/>
              <w:start w:w="100" w:type="dxa"/>
              <w:bottom w:w="90" w:type="dxa"/>
              <w:end w:w="100" w:type="dxa"/>
            </w:tcMar>
            <w:vAlign w:val="center"/>
            <w:shd w:fill="FAFBFC"/>
          </w:tcPr>
          <w:p>
            <w:pPr>
              <w:spacing w:after="0" w:line="247" w:lineRule="auto"/>
            </w:pPr>
            <w:r>
              <w:rPr>
                <w:rFonts w:ascii="Arial" w:hAnsi="Arial"/>
                <w:b/>
                <w:color w:val="1F2937"/>
                <w:sz w:val="17"/>
              </w:rPr>
              <w:t>Insight adoption</w:t>
            </w:r>
          </w:p>
        </w:tc>
        <w:tc>
          <w:tcPr>
            <w:tcW w:type="dxa" w:w="7272"/>
            <w:tcMar>
              <w:top w:w="90" w:type="dxa"/>
              <w:start w:w="100" w:type="dxa"/>
              <w:bottom w:w="90" w:type="dxa"/>
              <w:end w:w="100" w:type="dxa"/>
            </w:tcMar>
            <w:vAlign w:val="center"/>
            <w:shd w:fill="FAFBFC"/>
          </w:tcPr>
          <w:p>
            <w:pPr>
              <w:spacing w:after="0" w:line="247" w:lineRule="auto"/>
            </w:pPr>
            <w:r>
              <w:rPr>
                <w:rFonts w:ascii="Arial" w:hAnsi="Arial"/>
                <w:b w:val="0"/>
                <w:color w:val="1F2937"/>
                <w:sz w:val="17"/>
              </w:rPr>
              <w:t>Reports opened, actions assigned, knowledge gaps resolved and recommendations progressed.</w:t>
            </w:r>
          </w:p>
        </w:tc>
      </w:tr>
      <w:tr>
        <w:tc>
          <w:tcPr>
            <w:tcW w:type="dxa" w:w="2664"/>
            <w:tcMar>
              <w:top w:w="90" w:type="dxa"/>
              <w:start w:w="100" w:type="dxa"/>
              <w:bottom w:w="90" w:type="dxa"/>
              <w:end w:w="100" w:type="dxa"/>
            </w:tcMar>
            <w:vAlign w:val="center"/>
          </w:tcPr>
          <w:p>
            <w:pPr>
              <w:spacing w:after="0" w:line="247" w:lineRule="auto"/>
            </w:pPr>
            <w:r>
              <w:rPr>
                <w:rFonts w:ascii="Arial" w:hAnsi="Arial"/>
                <w:b/>
                <w:color w:val="1F2937"/>
                <w:sz w:val="17"/>
              </w:rPr>
              <w:t>Provider health and cost</w:t>
            </w:r>
          </w:p>
        </w:tc>
        <w:tc>
          <w:tcPr>
            <w:tcW w:type="dxa" w:w="7272"/>
            <w:tcMar>
              <w:top w:w="90" w:type="dxa"/>
              <w:start w:w="100" w:type="dxa"/>
              <w:bottom w:w="90" w:type="dxa"/>
              <w:end w:w="100" w:type="dxa"/>
            </w:tcMar>
            <w:vAlign w:val="center"/>
          </w:tcPr>
          <w:p>
            <w:pPr>
              <w:spacing w:after="0" w:line="247" w:lineRule="auto"/>
            </w:pPr>
            <w:r>
              <w:rPr>
                <w:rFonts w:ascii="Arial" w:hAnsi="Arial"/>
                <w:b w:val="0"/>
                <w:color w:val="1F2937"/>
                <w:sz w:val="17"/>
              </w:rPr>
              <w:t>API failure, webhook delay, usage, quota and cost per completed/processed call.</w:t>
            </w:r>
          </w:p>
        </w:tc>
      </w:tr>
    </w:tbl>
    <w:p>
      <w:pPr>
        <w:spacing w:after="40"/>
      </w:pPr>
    </w:p>
    <w:p>
      <w:pPr>
        <w:pStyle w:val="Heading2"/>
        <w:keepNext/>
      </w:pPr>
      <w:r>
        <w:rPr>
          <w:rFonts w:ascii="Arial" w:hAnsi="Arial"/>
        </w:rPr>
        <w:t>14.2 Provisional targets for validation</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3816"/>
        <w:gridCol w:w="3888"/>
        <w:gridCol w:w="2232"/>
      </w:tblGrid>
      <w:tr>
        <w:trPr>
          <w:tblHeader w:val="true"/>
        </w:trPr>
        <w:tc>
          <w:tcPr>
            <w:tcW w:type="dxa" w:w="3816"/>
            <w:shd w:fill="12304A"/>
            <w:tcMar>
              <w:top w:w="100" w:type="dxa"/>
              <w:start w:w="100" w:type="dxa"/>
              <w:bottom w:w="100" w:type="dxa"/>
              <w:end w:w="100" w:type="dxa"/>
            </w:tcMar>
            <w:vAlign w:val="center"/>
          </w:tcPr>
          <w:p>
            <w:pPr>
              <w:spacing w:after="0"/>
              <w:jc w:val="center"/>
            </w:pPr>
            <w:r>
              <w:rPr>
                <w:rFonts w:ascii="Arial" w:hAnsi="Arial"/>
                <w:b/>
                <w:color w:val="FFFFFF"/>
                <w:sz w:val="18"/>
              </w:rPr>
              <w:t>Measure</w:t>
            </w:r>
          </w:p>
        </w:tc>
        <w:tc>
          <w:tcPr>
            <w:tcW w:type="dxa" w:w="3888"/>
            <w:shd w:fill="12304A"/>
            <w:tcMar>
              <w:top w:w="100" w:type="dxa"/>
              <w:start w:w="100" w:type="dxa"/>
              <w:bottom w:w="100" w:type="dxa"/>
              <w:end w:w="100" w:type="dxa"/>
            </w:tcMar>
            <w:vAlign w:val="center"/>
          </w:tcPr>
          <w:p>
            <w:pPr>
              <w:spacing w:after="0"/>
              <w:jc w:val="center"/>
            </w:pPr>
            <w:r>
              <w:rPr>
                <w:rFonts w:ascii="Arial" w:hAnsi="Arial"/>
                <w:b/>
                <w:color w:val="FFFFFF"/>
                <w:sz w:val="18"/>
              </w:rPr>
              <w:t>Initial target</w:t>
            </w:r>
          </w:p>
        </w:tc>
        <w:tc>
          <w:tcPr>
            <w:tcW w:type="dxa" w:w="2232"/>
            <w:shd w:fill="12304A"/>
            <w:tcMar>
              <w:top w:w="100" w:type="dxa"/>
              <w:start w:w="100" w:type="dxa"/>
              <w:bottom w:w="100" w:type="dxa"/>
              <w:end w:w="100" w:type="dxa"/>
            </w:tcMar>
            <w:vAlign w:val="center"/>
          </w:tcPr>
          <w:p>
            <w:pPr>
              <w:spacing w:after="0"/>
              <w:jc w:val="center"/>
            </w:pPr>
            <w:r>
              <w:rPr>
                <w:rFonts w:ascii="Arial" w:hAnsi="Arial"/>
                <w:b/>
                <w:color w:val="FFFFFF"/>
                <w:sz w:val="18"/>
              </w:rPr>
              <w:t>Status</w:t>
            </w:r>
          </w:p>
        </w:tc>
      </w:tr>
      <w:tr>
        <w:tc>
          <w:tcPr>
            <w:tcW w:type="dxa" w:w="3816"/>
            <w:tcMar>
              <w:top w:w="90" w:type="dxa"/>
              <w:start w:w="100" w:type="dxa"/>
              <w:bottom w:w="90" w:type="dxa"/>
              <w:end w:w="100" w:type="dxa"/>
            </w:tcMar>
            <w:vAlign w:val="center"/>
          </w:tcPr>
          <w:p>
            <w:pPr>
              <w:spacing w:after="0" w:line="247" w:lineRule="auto"/>
            </w:pPr>
            <w:r>
              <w:rPr>
                <w:rFonts w:ascii="Arial" w:hAnsi="Arial"/>
                <w:b/>
                <w:color w:val="1F2937"/>
                <w:sz w:val="17"/>
              </w:rPr>
              <w:t>Post-call webhook acceptance</w:t>
            </w:r>
          </w:p>
        </w:tc>
        <w:tc>
          <w:tcPr>
            <w:tcW w:type="dxa" w:w="3888"/>
            <w:tcMar>
              <w:top w:w="90" w:type="dxa"/>
              <w:start w:w="100" w:type="dxa"/>
              <w:bottom w:w="90" w:type="dxa"/>
              <w:end w:w="100" w:type="dxa"/>
            </w:tcMar>
            <w:vAlign w:val="center"/>
          </w:tcPr>
          <w:p>
            <w:pPr>
              <w:spacing w:after="0" w:line="247" w:lineRule="auto"/>
            </w:pPr>
            <w:r>
              <w:rPr>
                <w:rFonts w:ascii="Arial" w:hAnsi="Arial"/>
                <w:b w:val="0"/>
                <w:color w:val="1F2937"/>
                <w:sz w:val="17"/>
              </w:rPr>
              <w:t>&gt;= 99.9% in controlled/staging tests</w:t>
            </w:r>
          </w:p>
        </w:tc>
        <w:tc>
          <w:tcPr>
            <w:tcW w:type="dxa" w:w="2232"/>
            <w:tcMar>
              <w:top w:w="90" w:type="dxa"/>
              <w:start w:w="100" w:type="dxa"/>
              <w:bottom w:w="90" w:type="dxa"/>
              <w:end w:w="100" w:type="dxa"/>
            </w:tcMar>
            <w:vAlign w:val="center"/>
          </w:tcPr>
          <w:p>
            <w:pPr>
              <w:spacing w:after="0" w:line="247" w:lineRule="auto"/>
            </w:pPr>
            <w:r>
              <w:rPr>
                <w:rFonts w:ascii="Arial" w:hAnsi="Arial"/>
                <w:b w:val="0"/>
                <w:color w:val="1F2937"/>
                <w:sz w:val="17"/>
              </w:rPr>
              <w:t>Proposed</w:t>
            </w:r>
          </w:p>
        </w:tc>
      </w:tr>
      <w:tr>
        <w:tc>
          <w:tcPr>
            <w:tcW w:type="dxa" w:w="3816"/>
            <w:tcMar>
              <w:top w:w="90" w:type="dxa"/>
              <w:start w:w="100" w:type="dxa"/>
              <w:bottom w:w="90" w:type="dxa"/>
              <w:end w:w="100" w:type="dxa"/>
            </w:tcMar>
            <w:vAlign w:val="center"/>
            <w:shd w:fill="FAFBFC"/>
          </w:tcPr>
          <w:p>
            <w:pPr>
              <w:spacing w:after="0" w:line="247" w:lineRule="auto"/>
            </w:pPr>
            <w:r>
              <w:rPr>
                <w:rFonts w:ascii="Arial" w:hAnsi="Arial"/>
                <w:b/>
                <w:color w:val="1F2937"/>
                <w:sz w:val="17"/>
              </w:rPr>
              <w:t>Post-call artifact completion</w:t>
            </w:r>
          </w:p>
        </w:tc>
        <w:tc>
          <w:tcPr>
            <w:tcW w:type="dxa" w:w="3888"/>
            <w:tcMar>
              <w:top w:w="90" w:type="dxa"/>
              <w:start w:w="100" w:type="dxa"/>
              <w:bottom w:w="90" w:type="dxa"/>
              <w:end w:w="100" w:type="dxa"/>
            </w:tcMar>
            <w:vAlign w:val="center"/>
            <w:shd w:fill="FAFBFC"/>
          </w:tcPr>
          <w:p>
            <w:pPr>
              <w:spacing w:after="0" w:line="247" w:lineRule="auto"/>
            </w:pPr>
            <w:r>
              <w:rPr>
                <w:rFonts w:ascii="Arial" w:hAnsi="Arial"/>
                <w:b w:val="0"/>
                <w:color w:val="1F2937"/>
                <w:sz w:val="17"/>
              </w:rPr>
              <w:t>&gt;= 95% within five minutes under normal load</w:t>
            </w:r>
          </w:p>
        </w:tc>
        <w:tc>
          <w:tcPr>
            <w:tcW w:type="dxa" w:w="2232"/>
            <w:tcMar>
              <w:top w:w="90" w:type="dxa"/>
              <w:start w:w="100" w:type="dxa"/>
              <w:bottom w:w="90" w:type="dxa"/>
              <w:end w:w="100" w:type="dxa"/>
            </w:tcMar>
            <w:vAlign w:val="center"/>
            <w:shd w:fill="FAFBFC"/>
          </w:tcPr>
          <w:p>
            <w:pPr>
              <w:spacing w:after="0" w:line="247" w:lineRule="auto"/>
            </w:pPr>
            <w:r>
              <w:rPr>
                <w:rFonts w:ascii="Arial" w:hAnsi="Arial"/>
                <w:b w:val="0"/>
                <w:color w:val="1F2937"/>
                <w:sz w:val="17"/>
              </w:rPr>
              <w:t>Proposed</w:t>
            </w:r>
          </w:p>
        </w:tc>
      </w:tr>
      <w:tr>
        <w:tc>
          <w:tcPr>
            <w:tcW w:type="dxa" w:w="3816"/>
            <w:tcMar>
              <w:top w:w="90" w:type="dxa"/>
              <w:start w:w="100" w:type="dxa"/>
              <w:bottom w:w="90" w:type="dxa"/>
              <w:end w:w="100" w:type="dxa"/>
            </w:tcMar>
            <w:vAlign w:val="center"/>
          </w:tcPr>
          <w:p>
            <w:pPr>
              <w:spacing w:after="0" w:line="247" w:lineRule="auto"/>
            </w:pPr>
            <w:r>
              <w:rPr>
                <w:rFonts w:ascii="Arial" w:hAnsi="Arial"/>
                <w:b/>
                <w:color w:val="1F2937"/>
                <w:sz w:val="17"/>
              </w:rPr>
              <w:t>Launch knowledge test accuracy</w:t>
            </w:r>
          </w:p>
        </w:tc>
        <w:tc>
          <w:tcPr>
            <w:tcW w:type="dxa" w:w="3888"/>
            <w:tcMar>
              <w:top w:w="90" w:type="dxa"/>
              <w:start w:w="100" w:type="dxa"/>
              <w:bottom w:w="90" w:type="dxa"/>
              <w:end w:w="100" w:type="dxa"/>
            </w:tcMar>
            <w:vAlign w:val="center"/>
          </w:tcPr>
          <w:p>
            <w:pPr>
              <w:spacing w:after="0" w:line="247" w:lineRule="auto"/>
            </w:pPr>
            <w:r>
              <w:rPr>
                <w:rFonts w:ascii="Arial" w:hAnsi="Arial"/>
                <w:b w:val="0"/>
                <w:color w:val="1F2937"/>
                <w:sz w:val="17"/>
              </w:rPr>
              <w:t>&gt;= 90% with zero critical policy errors</w:t>
            </w:r>
          </w:p>
        </w:tc>
        <w:tc>
          <w:tcPr>
            <w:tcW w:type="dxa" w:w="2232"/>
            <w:tcMar>
              <w:top w:w="90" w:type="dxa"/>
              <w:start w:w="100" w:type="dxa"/>
              <w:bottom w:w="90" w:type="dxa"/>
              <w:end w:w="100" w:type="dxa"/>
            </w:tcMar>
            <w:vAlign w:val="center"/>
          </w:tcPr>
          <w:p>
            <w:pPr>
              <w:spacing w:after="0" w:line="247" w:lineRule="auto"/>
            </w:pPr>
            <w:r>
              <w:rPr>
                <w:rFonts w:ascii="Arial" w:hAnsi="Arial"/>
                <w:b w:val="0"/>
                <w:color w:val="1F2937"/>
                <w:sz w:val="17"/>
              </w:rPr>
              <w:t>Proposed</w:t>
            </w:r>
          </w:p>
        </w:tc>
      </w:tr>
      <w:tr>
        <w:tc>
          <w:tcPr>
            <w:tcW w:type="dxa" w:w="3816"/>
            <w:tcMar>
              <w:top w:w="90" w:type="dxa"/>
              <w:start w:w="100" w:type="dxa"/>
              <w:bottom w:w="90" w:type="dxa"/>
              <w:end w:w="100" w:type="dxa"/>
            </w:tcMar>
            <w:vAlign w:val="center"/>
            <w:shd w:fill="FAFBFC"/>
          </w:tcPr>
          <w:p>
            <w:pPr>
              <w:spacing w:after="0" w:line="247" w:lineRule="auto"/>
            </w:pPr>
            <w:r>
              <w:rPr>
                <w:rFonts w:ascii="Arial" w:hAnsi="Arial"/>
                <w:b/>
                <w:color w:val="1F2937"/>
                <w:sz w:val="17"/>
              </w:rPr>
              <w:t>Required safety/sensitive tests</w:t>
            </w:r>
          </w:p>
        </w:tc>
        <w:tc>
          <w:tcPr>
            <w:tcW w:type="dxa" w:w="3888"/>
            <w:tcMar>
              <w:top w:w="90" w:type="dxa"/>
              <w:start w:w="100" w:type="dxa"/>
              <w:bottom w:w="90" w:type="dxa"/>
              <w:end w:w="100" w:type="dxa"/>
            </w:tcMar>
            <w:vAlign w:val="center"/>
            <w:shd w:fill="FAFBFC"/>
          </w:tcPr>
          <w:p>
            <w:pPr>
              <w:spacing w:after="0" w:line="247" w:lineRule="auto"/>
            </w:pPr>
            <w:r>
              <w:rPr>
                <w:rFonts w:ascii="Arial" w:hAnsi="Arial"/>
                <w:b w:val="0"/>
                <w:color w:val="1F2937"/>
                <w:sz w:val="17"/>
              </w:rPr>
              <w:t>100% pass</w:t>
            </w:r>
          </w:p>
        </w:tc>
        <w:tc>
          <w:tcPr>
            <w:tcW w:type="dxa" w:w="2232"/>
            <w:tcMar>
              <w:top w:w="90" w:type="dxa"/>
              <w:start w:w="100" w:type="dxa"/>
              <w:bottom w:w="90" w:type="dxa"/>
              <w:end w:w="100" w:type="dxa"/>
            </w:tcMar>
            <w:vAlign w:val="center"/>
            <w:shd w:fill="FAFBFC"/>
          </w:tcPr>
          <w:p>
            <w:pPr>
              <w:spacing w:after="0" w:line="247" w:lineRule="auto"/>
            </w:pPr>
            <w:r>
              <w:rPr>
                <w:rFonts w:ascii="Arial" w:hAnsi="Arial"/>
                <w:b w:val="0"/>
                <w:color w:val="1F2937"/>
                <w:sz w:val="17"/>
              </w:rPr>
              <w:t>Mandatory</w:t>
            </w:r>
          </w:p>
        </w:tc>
      </w:tr>
      <w:tr>
        <w:tc>
          <w:tcPr>
            <w:tcW w:type="dxa" w:w="3816"/>
            <w:tcMar>
              <w:top w:w="90" w:type="dxa"/>
              <w:start w:w="100" w:type="dxa"/>
              <w:bottom w:w="90" w:type="dxa"/>
              <w:end w:w="100" w:type="dxa"/>
            </w:tcMar>
            <w:vAlign w:val="center"/>
          </w:tcPr>
          <w:p>
            <w:pPr>
              <w:spacing w:after="0" w:line="247" w:lineRule="auto"/>
            </w:pPr>
            <w:r>
              <w:rPr>
                <w:rFonts w:ascii="Arial" w:hAnsi="Arial"/>
                <w:b/>
                <w:color w:val="1F2937"/>
                <w:sz w:val="17"/>
              </w:rPr>
              <w:t>Production configuration drift</w:t>
            </w:r>
          </w:p>
        </w:tc>
        <w:tc>
          <w:tcPr>
            <w:tcW w:type="dxa" w:w="3888"/>
            <w:tcMar>
              <w:top w:w="90" w:type="dxa"/>
              <w:start w:w="100" w:type="dxa"/>
              <w:bottom w:w="90" w:type="dxa"/>
              <w:end w:w="100" w:type="dxa"/>
            </w:tcMar>
            <w:vAlign w:val="center"/>
          </w:tcPr>
          <w:p>
            <w:pPr>
              <w:spacing w:after="0" w:line="247" w:lineRule="auto"/>
            </w:pPr>
            <w:r>
              <w:rPr>
                <w:rFonts w:ascii="Arial" w:hAnsi="Arial"/>
                <w:b w:val="0"/>
                <w:color w:val="1F2937"/>
                <w:sz w:val="17"/>
              </w:rPr>
              <w:t>0 unresolved critical drift items</w:t>
            </w:r>
          </w:p>
        </w:tc>
        <w:tc>
          <w:tcPr>
            <w:tcW w:type="dxa" w:w="2232"/>
            <w:tcMar>
              <w:top w:w="90" w:type="dxa"/>
              <w:start w:w="100" w:type="dxa"/>
              <w:bottom w:w="90" w:type="dxa"/>
              <w:end w:w="100" w:type="dxa"/>
            </w:tcMar>
            <w:vAlign w:val="center"/>
          </w:tcPr>
          <w:p>
            <w:pPr>
              <w:spacing w:after="0" w:line="247" w:lineRule="auto"/>
            </w:pPr>
            <w:r>
              <w:rPr>
                <w:rFonts w:ascii="Arial" w:hAnsi="Arial"/>
                <w:b w:val="0"/>
                <w:color w:val="1F2937"/>
                <w:sz w:val="17"/>
              </w:rPr>
              <w:t>Mandatory</w:t>
            </w:r>
          </w:p>
        </w:tc>
      </w:tr>
      <w:tr>
        <w:tc>
          <w:tcPr>
            <w:tcW w:type="dxa" w:w="3816"/>
            <w:tcMar>
              <w:top w:w="90" w:type="dxa"/>
              <w:start w:w="100" w:type="dxa"/>
              <w:bottom w:w="90" w:type="dxa"/>
              <w:end w:w="100" w:type="dxa"/>
            </w:tcMar>
            <w:vAlign w:val="center"/>
            <w:shd w:fill="FAFBFC"/>
          </w:tcPr>
          <w:p>
            <w:pPr>
              <w:spacing w:after="0" w:line="247" w:lineRule="auto"/>
            </w:pPr>
            <w:r>
              <w:rPr>
                <w:rFonts w:ascii="Arial" w:hAnsi="Arial"/>
                <w:b/>
                <w:color w:val="1F2937"/>
                <w:sz w:val="17"/>
              </w:rPr>
              <w:t>Required content/agent approval</w:t>
            </w:r>
          </w:p>
        </w:tc>
        <w:tc>
          <w:tcPr>
            <w:tcW w:type="dxa" w:w="3888"/>
            <w:tcMar>
              <w:top w:w="90" w:type="dxa"/>
              <w:start w:w="100" w:type="dxa"/>
              <w:bottom w:w="90" w:type="dxa"/>
              <w:end w:w="100" w:type="dxa"/>
            </w:tcMar>
            <w:vAlign w:val="center"/>
            <w:shd w:fill="FAFBFC"/>
          </w:tcPr>
          <w:p>
            <w:pPr>
              <w:spacing w:after="0" w:line="247" w:lineRule="auto"/>
            </w:pPr>
            <w:r>
              <w:rPr>
                <w:rFonts w:ascii="Arial" w:hAnsi="Arial"/>
                <w:b w:val="0"/>
                <w:color w:val="1F2937"/>
                <w:sz w:val="17"/>
              </w:rPr>
              <w:t>100% of active versions</w:t>
            </w:r>
          </w:p>
        </w:tc>
        <w:tc>
          <w:tcPr>
            <w:tcW w:type="dxa" w:w="2232"/>
            <w:tcMar>
              <w:top w:w="90" w:type="dxa"/>
              <w:start w:w="100" w:type="dxa"/>
              <w:bottom w:w="90" w:type="dxa"/>
              <w:end w:w="100" w:type="dxa"/>
            </w:tcMar>
            <w:vAlign w:val="center"/>
            <w:shd w:fill="FAFBFC"/>
          </w:tcPr>
          <w:p>
            <w:pPr>
              <w:spacing w:after="0" w:line="247" w:lineRule="auto"/>
            </w:pPr>
            <w:r>
              <w:rPr>
                <w:rFonts w:ascii="Arial" w:hAnsi="Arial"/>
                <w:b w:val="0"/>
                <w:color w:val="1F2937"/>
                <w:sz w:val="17"/>
              </w:rPr>
              <w:t>Mandatory</w:t>
            </w:r>
          </w:p>
        </w:tc>
      </w:tr>
      <w:tr>
        <w:tc>
          <w:tcPr>
            <w:tcW w:type="dxa" w:w="3816"/>
            <w:tcMar>
              <w:top w:w="90" w:type="dxa"/>
              <w:start w:w="100" w:type="dxa"/>
              <w:bottom w:w="90" w:type="dxa"/>
              <w:end w:w="100" w:type="dxa"/>
            </w:tcMar>
            <w:vAlign w:val="center"/>
          </w:tcPr>
          <w:p>
            <w:pPr>
              <w:spacing w:after="0" w:line="247" w:lineRule="auto"/>
            </w:pPr>
            <w:r>
              <w:rPr>
                <w:rFonts w:ascii="Arial" w:hAnsi="Arial"/>
                <w:b/>
                <w:color w:val="1F2937"/>
                <w:sz w:val="17"/>
              </w:rPr>
              <w:t>Provider credential exposure</w:t>
            </w:r>
          </w:p>
        </w:tc>
        <w:tc>
          <w:tcPr>
            <w:tcW w:type="dxa" w:w="3888"/>
            <w:tcMar>
              <w:top w:w="90" w:type="dxa"/>
              <w:start w:w="100" w:type="dxa"/>
              <w:bottom w:w="90" w:type="dxa"/>
              <w:end w:w="100" w:type="dxa"/>
            </w:tcMar>
            <w:vAlign w:val="center"/>
          </w:tcPr>
          <w:p>
            <w:pPr>
              <w:spacing w:after="0" w:line="247" w:lineRule="auto"/>
            </w:pPr>
            <w:r>
              <w:rPr>
                <w:rFonts w:ascii="Arial" w:hAnsi="Arial"/>
                <w:b w:val="0"/>
                <w:color w:val="1F2937"/>
                <w:sz w:val="17"/>
              </w:rPr>
              <w:t>0 incidents</w:t>
            </w:r>
          </w:p>
        </w:tc>
        <w:tc>
          <w:tcPr>
            <w:tcW w:type="dxa" w:w="2232"/>
            <w:tcMar>
              <w:top w:w="90" w:type="dxa"/>
              <w:start w:w="100" w:type="dxa"/>
              <w:bottom w:w="90" w:type="dxa"/>
              <w:end w:w="100" w:type="dxa"/>
            </w:tcMar>
            <w:vAlign w:val="center"/>
          </w:tcPr>
          <w:p>
            <w:pPr>
              <w:spacing w:after="0" w:line="247" w:lineRule="auto"/>
            </w:pPr>
            <w:r>
              <w:rPr>
                <w:rFonts w:ascii="Arial" w:hAnsi="Arial"/>
                <w:b w:val="0"/>
                <w:color w:val="1F2937"/>
                <w:sz w:val="17"/>
              </w:rPr>
              <w:t>Mandatory</w:t>
            </w:r>
          </w:p>
        </w:tc>
      </w:tr>
    </w:tbl>
    <w:p>
      <w:pPr>
        <w:spacing w:after="40"/>
      </w:pPr>
    </w:p>
    <w:p>
      <w:pPr>
        <w:pStyle w:val="Heading1"/>
        <w:keepNext/>
        <w:pageBreakBefore w:val="0"/>
      </w:pPr>
      <w:r>
        <w:rPr>
          <w:rFonts w:ascii="Arial" w:hAnsi="Arial"/>
        </w:rPr>
        <w:t>15  Delivery governance and acceptance</w:t>
      </w:r>
    </w:p>
    <w:p>
      <w:pPr>
        <w:pStyle w:val="Heading2"/>
        <w:keepNext/>
      </w:pPr>
      <w:r>
        <w:rPr>
          <w:rFonts w:ascii="Arial" w:hAnsi="Arial"/>
        </w:rPr>
        <w:t>15.1 Delivery model</w:t>
      </w:r>
    </w:p>
    <w:p>
      <w:pPr>
        <w:spacing w:before="0" w:after="120" w:line="259" w:lineRule="auto"/>
      </w:pPr>
      <w:r>
        <w:rPr>
          <w:rFonts w:ascii="Arial" w:hAnsi="Arial"/>
          <w:i w:val="0"/>
        </w:rPr>
        <w:t>The programme may be delivered in increments, but it is not an MVP programme. Each workstream contributes to the complete production platform. Features that require external onboarding or legal approval are implemented behind readiness gates rather than omitted.</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3024"/>
        <w:gridCol w:w="6912"/>
      </w:tblGrid>
      <w:tr>
        <w:trPr>
          <w:tblHeader w:val="true"/>
        </w:trPr>
        <w:tc>
          <w:tcPr>
            <w:tcW w:type="dxa" w:w="3024"/>
            <w:shd w:fill="12304A"/>
            <w:tcMar>
              <w:top w:w="100" w:type="dxa"/>
              <w:start w:w="100" w:type="dxa"/>
              <w:bottom w:w="100" w:type="dxa"/>
              <w:end w:w="100" w:type="dxa"/>
            </w:tcMar>
            <w:vAlign w:val="center"/>
          </w:tcPr>
          <w:p>
            <w:pPr>
              <w:spacing w:after="0"/>
              <w:jc w:val="center"/>
            </w:pPr>
            <w:r>
              <w:rPr>
                <w:rFonts w:ascii="Arial" w:hAnsi="Arial"/>
                <w:b/>
                <w:color w:val="FFFFFF"/>
                <w:sz w:val="18"/>
              </w:rPr>
              <w:t>Workstream</w:t>
            </w:r>
          </w:p>
        </w:tc>
        <w:tc>
          <w:tcPr>
            <w:tcW w:type="dxa" w:w="6912"/>
            <w:shd w:fill="12304A"/>
            <w:tcMar>
              <w:top w:w="100" w:type="dxa"/>
              <w:start w:w="100" w:type="dxa"/>
              <w:bottom w:w="100" w:type="dxa"/>
              <w:end w:w="100" w:type="dxa"/>
            </w:tcMar>
            <w:vAlign w:val="center"/>
          </w:tcPr>
          <w:p>
            <w:pPr>
              <w:spacing w:after="0"/>
              <w:jc w:val="center"/>
            </w:pPr>
            <w:r>
              <w:rPr>
                <w:rFonts w:ascii="Arial" w:hAnsi="Arial"/>
                <w:b/>
                <w:color w:val="FFFFFF"/>
                <w:sz w:val="18"/>
              </w:rPr>
              <w:t>Outcome</w:t>
            </w:r>
          </w:p>
        </w:tc>
      </w:tr>
      <w:tr>
        <w:tc>
          <w:tcPr>
            <w:tcW w:type="dxa" w:w="3024"/>
            <w:tcMar>
              <w:top w:w="90" w:type="dxa"/>
              <w:start w:w="100" w:type="dxa"/>
              <w:bottom w:w="90" w:type="dxa"/>
              <w:end w:w="100" w:type="dxa"/>
            </w:tcMar>
            <w:vAlign w:val="center"/>
          </w:tcPr>
          <w:p>
            <w:pPr>
              <w:spacing w:after="0" w:line="247" w:lineRule="auto"/>
            </w:pPr>
            <w:r>
              <w:rPr>
                <w:rFonts w:ascii="Arial" w:hAnsi="Arial"/>
                <w:b/>
                <w:color w:val="1F2937"/>
                <w:sz w:val="17"/>
              </w:rPr>
              <w:t>1. Foundation and provider connection</w:t>
            </w:r>
          </w:p>
        </w:tc>
        <w:tc>
          <w:tcPr>
            <w:tcW w:type="dxa" w:w="6912"/>
            <w:tcMar>
              <w:top w:w="90" w:type="dxa"/>
              <w:start w:w="100" w:type="dxa"/>
              <w:bottom w:w="90" w:type="dxa"/>
              <w:end w:w="100" w:type="dxa"/>
            </w:tcMar>
            <w:vAlign w:val="center"/>
          </w:tcPr>
          <w:p>
            <w:pPr>
              <w:spacing w:after="0" w:line="247" w:lineRule="auto"/>
            </w:pPr>
            <w:r>
              <w:rPr>
                <w:rFonts w:ascii="Arial" w:hAnsi="Arial"/>
                <w:b w:val="0"/>
                <w:color w:val="1F2937"/>
                <w:sz w:val="17"/>
              </w:rPr>
              <w:t>Identity, RBAC, secrets, ElevenLabs adapter, environments, local/remote mapping, audit, observability and CI/CD.</w:t>
            </w:r>
          </w:p>
        </w:tc>
      </w:tr>
      <w:tr>
        <w:tc>
          <w:tcPr>
            <w:tcW w:type="dxa" w:w="3024"/>
            <w:tcMar>
              <w:top w:w="90" w:type="dxa"/>
              <w:start w:w="100" w:type="dxa"/>
              <w:bottom w:w="90" w:type="dxa"/>
              <w:end w:w="100" w:type="dxa"/>
            </w:tcMar>
            <w:vAlign w:val="center"/>
            <w:shd w:fill="FAFBFC"/>
          </w:tcPr>
          <w:p>
            <w:pPr>
              <w:spacing w:after="0" w:line="247" w:lineRule="auto"/>
            </w:pPr>
            <w:r>
              <w:rPr>
                <w:rFonts w:ascii="Arial" w:hAnsi="Arial"/>
                <w:b/>
                <w:color w:val="1F2937"/>
                <w:sz w:val="17"/>
              </w:rPr>
              <w:t>2. Agent, knowledge and voice control</w:t>
            </w:r>
          </w:p>
        </w:tc>
        <w:tc>
          <w:tcPr>
            <w:tcW w:type="dxa" w:w="6912"/>
            <w:tcMar>
              <w:top w:w="90" w:type="dxa"/>
              <w:start w:w="100" w:type="dxa"/>
              <w:bottom w:w="90" w:type="dxa"/>
              <w:end w:w="100" w:type="dxa"/>
            </w:tcMar>
            <w:vAlign w:val="center"/>
            <w:shd w:fill="FAFBFC"/>
          </w:tcPr>
          <w:p>
            <w:pPr>
              <w:spacing w:after="0" w:line="247" w:lineRule="auto"/>
            </w:pPr>
            <w:r>
              <w:rPr>
                <w:rFonts w:ascii="Arial" w:hAnsi="Arial"/>
                <w:b w:val="0"/>
                <w:color w:val="1F2937"/>
                <w:sz w:val="17"/>
              </w:rPr>
              <w:t>Agent Studio, Knowledge Hub, Voice Library, versioning, approval, sync and rollback.</w:t>
            </w:r>
          </w:p>
        </w:tc>
      </w:tr>
      <w:tr>
        <w:tc>
          <w:tcPr>
            <w:tcW w:type="dxa" w:w="3024"/>
            <w:tcMar>
              <w:top w:w="90" w:type="dxa"/>
              <w:start w:w="100" w:type="dxa"/>
              <w:bottom w:w="90" w:type="dxa"/>
              <w:end w:w="100" w:type="dxa"/>
            </w:tcMar>
            <w:vAlign w:val="center"/>
          </w:tcPr>
          <w:p>
            <w:pPr>
              <w:spacing w:after="0" w:line="247" w:lineRule="auto"/>
            </w:pPr>
            <w:r>
              <w:rPr>
                <w:rFonts w:ascii="Arial" w:hAnsi="Arial"/>
                <w:b/>
                <w:color w:val="1F2937"/>
                <w:sz w:val="17"/>
              </w:rPr>
              <w:t>3. Test and release control</w:t>
            </w:r>
          </w:p>
        </w:tc>
        <w:tc>
          <w:tcPr>
            <w:tcW w:type="dxa" w:w="6912"/>
            <w:tcMar>
              <w:top w:w="90" w:type="dxa"/>
              <w:start w:w="100" w:type="dxa"/>
              <w:bottom w:w="90" w:type="dxa"/>
              <w:end w:w="100" w:type="dxa"/>
            </w:tcMar>
            <w:vAlign w:val="center"/>
          </w:tcPr>
          <w:p>
            <w:pPr>
              <w:spacing w:after="0" w:line="247" w:lineRule="auto"/>
            </w:pPr>
            <w:r>
              <w:rPr>
                <w:rFonts w:ascii="Arial" w:hAnsi="Arial"/>
                <w:b w:val="0"/>
                <w:color w:val="1F2937"/>
                <w:sz w:val="17"/>
              </w:rPr>
              <w:t>Test Studio, provider test integration, internal evaluation, release gates and evidence.</w:t>
            </w:r>
          </w:p>
        </w:tc>
      </w:tr>
      <w:tr>
        <w:tc>
          <w:tcPr>
            <w:tcW w:type="dxa" w:w="3024"/>
            <w:tcMar>
              <w:top w:w="90" w:type="dxa"/>
              <w:start w:w="100" w:type="dxa"/>
              <w:bottom w:w="90" w:type="dxa"/>
              <w:end w:w="100" w:type="dxa"/>
            </w:tcMar>
            <w:vAlign w:val="center"/>
            <w:shd w:fill="FAFBFC"/>
          </w:tcPr>
          <w:p>
            <w:pPr>
              <w:spacing w:after="0" w:line="247" w:lineRule="auto"/>
            </w:pPr>
            <w:r>
              <w:rPr>
                <w:rFonts w:ascii="Arial" w:hAnsi="Arial"/>
                <w:b/>
                <w:color w:val="1F2937"/>
                <w:sz w:val="17"/>
              </w:rPr>
              <w:t>4. Live business integration</w:t>
            </w:r>
          </w:p>
        </w:tc>
        <w:tc>
          <w:tcPr>
            <w:tcW w:type="dxa" w:w="6912"/>
            <w:tcMar>
              <w:top w:w="90" w:type="dxa"/>
              <w:start w:w="100" w:type="dxa"/>
              <w:bottom w:w="90" w:type="dxa"/>
              <w:end w:w="100" w:type="dxa"/>
            </w:tcMar>
            <w:vAlign w:val="center"/>
            <w:shd w:fill="FAFBFC"/>
          </w:tcPr>
          <w:p>
            <w:pPr>
              <w:spacing w:after="0" w:line="247" w:lineRule="auto"/>
            </w:pPr>
            <w:r>
              <w:rPr>
                <w:rFonts w:ascii="Arial" w:hAnsi="Arial"/>
                <w:b w:val="0"/>
                <w:color w:val="1F2937"/>
                <w:sz w:val="17"/>
              </w:rPr>
              <w:t>Personalization, tool APIs, customer/booking/support adapters, transfers, tasks and callbacks.</w:t>
            </w:r>
          </w:p>
        </w:tc>
      </w:tr>
      <w:tr>
        <w:tc>
          <w:tcPr>
            <w:tcW w:type="dxa" w:w="3024"/>
            <w:tcMar>
              <w:top w:w="90" w:type="dxa"/>
              <w:start w:w="100" w:type="dxa"/>
              <w:bottom w:w="90" w:type="dxa"/>
              <w:end w:w="100" w:type="dxa"/>
            </w:tcMar>
            <w:vAlign w:val="center"/>
          </w:tcPr>
          <w:p>
            <w:pPr>
              <w:spacing w:after="0" w:line="247" w:lineRule="auto"/>
            </w:pPr>
            <w:r>
              <w:rPr>
                <w:rFonts w:ascii="Arial" w:hAnsi="Arial"/>
                <w:b/>
                <w:color w:val="1F2937"/>
                <w:sz w:val="17"/>
              </w:rPr>
              <w:t>5. Call intelligence</w:t>
            </w:r>
          </w:p>
        </w:tc>
        <w:tc>
          <w:tcPr>
            <w:tcW w:type="dxa" w:w="6912"/>
            <w:tcMar>
              <w:top w:w="90" w:type="dxa"/>
              <w:start w:w="100" w:type="dxa"/>
              <w:bottom w:w="90" w:type="dxa"/>
              <w:end w:w="100" w:type="dxa"/>
            </w:tcMar>
            <w:vAlign w:val="center"/>
          </w:tcPr>
          <w:p>
            <w:pPr>
              <w:spacing w:after="0" w:line="247" w:lineRule="auto"/>
            </w:pPr>
            <w:r>
              <w:rPr>
                <w:rFonts w:ascii="Arial" w:hAnsi="Arial"/>
                <w:b w:val="0"/>
                <w:color w:val="1F2937"/>
                <w:sz w:val="17"/>
              </w:rPr>
              <w:t>Webhooks, canonical transcripts, summaries, classification, timelines, QA and reconciliation.</w:t>
            </w:r>
          </w:p>
        </w:tc>
      </w:tr>
      <w:tr>
        <w:tc>
          <w:tcPr>
            <w:tcW w:type="dxa" w:w="3024"/>
            <w:tcMar>
              <w:top w:w="90" w:type="dxa"/>
              <w:start w:w="100" w:type="dxa"/>
              <w:bottom w:w="90" w:type="dxa"/>
              <w:end w:w="100" w:type="dxa"/>
            </w:tcMar>
            <w:vAlign w:val="center"/>
            <w:shd w:fill="FAFBFC"/>
          </w:tcPr>
          <w:p>
            <w:pPr>
              <w:spacing w:after="0" w:line="247" w:lineRule="auto"/>
            </w:pPr>
            <w:r>
              <w:rPr>
                <w:rFonts w:ascii="Arial" w:hAnsi="Arial"/>
                <w:b/>
                <w:color w:val="1F2937"/>
                <w:sz w:val="17"/>
              </w:rPr>
              <w:t>6. Analytics and operations</w:t>
            </w:r>
          </w:p>
        </w:tc>
        <w:tc>
          <w:tcPr>
            <w:tcW w:type="dxa" w:w="6912"/>
            <w:tcMar>
              <w:top w:w="90" w:type="dxa"/>
              <w:start w:w="100" w:type="dxa"/>
              <w:bottom w:w="90" w:type="dxa"/>
              <w:end w:w="100" w:type="dxa"/>
            </w:tcMar>
            <w:vAlign w:val="center"/>
            <w:shd w:fill="FAFBFC"/>
          </w:tcPr>
          <w:p>
            <w:pPr>
              <w:spacing w:after="0" w:line="247" w:lineRule="auto"/>
            </w:pPr>
            <w:r>
              <w:rPr>
                <w:rFonts w:ascii="Arial" w:hAnsi="Arial"/>
                <w:b w:val="0"/>
                <w:color w:val="1F2937"/>
                <w:sz w:val="17"/>
              </w:rPr>
              <w:t>Dashboards, trends, reports, messages, exports, retention and administration.</w:t>
            </w:r>
          </w:p>
        </w:tc>
      </w:tr>
      <w:tr>
        <w:tc>
          <w:tcPr>
            <w:tcW w:type="dxa" w:w="3024"/>
            <w:tcMar>
              <w:top w:w="90" w:type="dxa"/>
              <w:start w:w="100" w:type="dxa"/>
              <w:bottom w:w="90" w:type="dxa"/>
              <w:end w:w="100" w:type="dxa"/>
            </w:tcMar>
            <w:vAlign w:val="center"/>
          </w:tcPr>
          <w:p>
            <w:pPr>
              <w:spacing w:after="0" w:line="247" w:lineRule="auto"/>
            </w:pPr>
            <w:r>
              <w:rPr>
                <w:rFonts w:ascii="Arial" w:hAnsi="Arial"/>
                <w:b/>
                <w:color w:val="1F2937"/>
                <w:sz w:val="17"/>
              </w:rPr>
              <w:t>7. Production hardening</w:t>
            </w:r>
          </w:p>
        </w:tc>
        <w:tc>
          <w:tcPr>
            <w:tcW w:type="dxa" w:w="6912"/>
            <w:tcMar>
              <w:top w:w="90" w:type="dxa"/>
              <w:start w:w="100" w:type="dxa"/>
              <w:bottom w:w="90" w:type="dxa"/>
              <w:end w:w="100" w:type="dxa"/>
            </w:tcMar>
            <w:vAlign w:val="center"/>
          </w:tcPr>
          <w:p>
            <w:pPr>
              <w:spacing w:after="0" w:line="247" w:lineRule="auto"/>
            </w:pPr>
            <w:r>
              <w:rPr>
                <w:rFonts w:ascii="Arial" w:hAnsi="Arial"/>
                <w:b w:val="0"/>
                <w:color w:val="1F2937"/>
                <w:sz w:val="17"/>
              </w:rPr>
              <w:t>Security, privacy, provider plan validation, load, DR, runbooks, monitoring and controlled activation.</w:t>
            </w:r>
          </w:p>
        </w:tc>
      </w:tr>
    </w:tbl>
    <w:p>
      <w:pPr>
        <w:spacing w:after="40"/>
      </w:pPr>
    </w:p>
    <w:p>
      <w:pPr>
        <w:pStyle w:val="Heading2"/>
        <w:keepNext/>
      </w:pPr>
      <w:r>
        <w:rPr>
          <w:rFonts w:ascii="Arial" w:hAnsi="Arial"/>
        </w:rPr>
        <w:t>15.2 Release gates</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2232"/>
        <w:gridCol w:w="7704"/>
      </w:tblGrid>
      <w:tr>
        <w:trPr>
          <w:tblHeader w:val="true"/>
        </w:trPr>
        <w:tc>
          <w:tcPr>
            <w:tcW w:type="dxa" w:w="2232"/>
            <w:shd w:fill="12304A"/>
            <w:tcMar>
              <w:top w:w="100" w:type="dxa"/>
              <w:start w:w="100" w:type="dxa"/>
              <w:bottom w:w="100" w:type="dxa"/>
              <w:end w:w="100" w:type="dxa"/>
            </w:tcMar>
            <w:vAlign w:val="center"/>
          </w:tcPr>
          <w:p>
            <w:pPr>
              <w:spacing w:after="0"/>
              <w:jc w:val="center"/>
            </w:pPr>
            <w:r>
              <w:rPr>
                <w:rFonts w:ascii="Arial" w:hAnsi="Arial"/>
                <w:b/>
                <w:color w:val="FFFFFF"/>
                <w:sz w:val="18"/>
              </w:rPr>
              <w:t>Gate</w:t>
            </w:r>
          </w:p>
        </w:tc>
        <w:tc>
          <w:tcPr>
            <w:tcW w:type="dxa" w:w="7703"/>
            <w:shd w:fill="12304A"/>
            <w:tcMar>
              <w:top w:w="100" w:type="dxa"/>
              <w:start w:w="100" w:type="dxa"/>
              <w:bottom w:w="100" w:type="dxa"/>
              <w:end w:w="100" w:type="dxa"/>
            </w:tcMar>
            <w:vAlign w:val="center"/>
          </w:tcPr>
          <w:p>
            <w:pPr>
              <w:spacing w:after="0"/>
              <w:jc w:val="center"/>
            </w:pPr>
            <w:r>
              <w:rPr>
                <w:rFonts w:ascii="Arial" w:hAnsi="Arial"/>
                <w:b/>
                <w:color w:val="FFFFFF"/>
                <w:sz w:val="18"/>
              </w:rPr>
              <w:t>Required evidence</w:t>
            </w:r>
          </w:p>
        </w:tc>
      </w:tr>
      <w:tr>
        <w:tc>
          <w:tcPr>
            <w:tcW w:type="dxa" w:w="2232"/>
            <w:tcMar>
              <w:top w:w="90" w:type="dxa"/>
              <w:start w:w="100" w:type="dxa"/>
              <w:bottom w:w="90" w:type="dxa"/>
              <w:end w:w="100" w:type="dxa"/>
            </w:tcMar>
            <w:vAlign w:val="center"/>
          </w:tcPr>
          <w:p>
            <w:pPr>
              <w:spacing w:after="0" w:line="247" w:lineRule="auto"/>
            </w:pPr>
            <w:r>
              <w:rPr>
                <w:rFonts w:ascii="Arial" w:hAnsi="Arial"/>
                <w:b/>
                <w:color w:val="1F2937"/>
                <w:sz w:val="17"/>
              </w:rPr>
              <w:t>Provider gate</w:t>
            </w:r>
          </w:p>
        </w:tc>
        <w:tc>
          <w:tcPr>
            <w:tcW w:type="dxa" w:w="7703"/>
            <w:tcMar>
              <w:top w:w="90" w:type="dxa"/>
              <w:start w:w="100" w:type="dxa"/>
              <w:bottom w:w="90" w:type="dxa"/>
              <w:end w:w="100" w:type="dxa"/>
            </w:tcMar>
            <w:vAlign w:val="center"/>
          </w:tcPr>
          <w:p>
            <w:pPr>
              <w:spacing w:after="0" w:line="247" w:lineRule="auto"/>
            </w:pPr>
            <w:r>
              <w:rPr>
                <w:rFonts w:ascii="Arial" w:hAnsi="Arial"/>
                <w:b w:val="0"/>
                <w:color w:val="1F2937"/>
                <w:sz w:val="17"/>
              </w:rPr>
              <w:t>Verified API capabilities, service account, scopes, quota, region, retention and webhook configuration.</w:t>
            </w:r>
          </w:p>
        </w:tc>
      </w:tr>
      <w:tr>
        <w:tc>
          <w:tcPr>
            <w:tcW w:type="dxa" w:w="2232"/>
            <w:tcMar>
              <w:top w:w="90" w:type="dxa"/>
              <w:start w:w="100" w:type="dxa"/>
              <w:bottom w:w="90" w:type="dxa"/>
              <w:end w:w="100" w:type="dxa"/>
            </w:tcMar>
            <w:vAlign w:val="center"/>
            <w:shd w:fill="FAFBFC"/>
          </w:tcPr>
          <w:p>
            <w:pPr>
              <w:spacing w:after="0" w:line="247" w:lineRule="auto"/>
            </w:pPr>
            <w:r>
              <w:rPr>
                <w:rFonts w:ascii="Arial" w:hAnsi="Arial"/>
                <w:b/>
                <w:color w:val="1F2937"/>
                <w:sz w:val="17"/>
              </w:rPr>
              <w:t>Agent gate</w:t>
            </w:r>
          </w:p>
        </w:tc>
        <w:tc>
          <w:tcPr>
            <w:tcW w:type="dxa" w:w="7703"/>
            <w:tcMar>
              <w:top w:w="90" w:type="dxa"/>
              <w:start w:w="100" w:type="dxa"/>
              <w:bottom w:w="90" w:type="dxa"/>
              <w:end w:w="100" w:type="dxa"/>
            </w:tcMar>
            <w:vAlign w:val="center"/>
            <w:shd w:fill="FAFBFC"/>
          </w:tcPr>
          <w:p>
            <w:pPr>
              <w:spacing w:after="0" w:line="247" w:lineRule="auto"/>
            </w:pPr>
            <w:r>
              <w:rPr>
                <w:rFonts w:ascii="Arial" w:hAnsi="Arial"/>
                <w:b w:val="0"/>
                <w:color w:val="1F2937"/>
                <w:sz w:val="17"/>
              </w:rPr>
              <w:t>Approved agent version, required configuration present, no prohibited tools or unresolved drift.</w:t>
            </w:r>
          </w:p>
        </w:tc>
      </w:tr>
      <w:tr>
        <w:tc>
          <w:tcPr>
            <w:tcW w:type="dxa" w:w="2232"/>
            <w:tcMar>
              <w:top w:w="90" w:type="dxa"/>
              <w:start w:w="100" w:type="dxa"/>
              <w:bottom w:w="90" w:type="dxa"/>
              <w:end w:w="100" w:type="dxa"/>
            </w:tcMar>
            <w:vAlign w:val="center"/>
          </w:tcPr>
          <w:p>
            <w:pPr>
              <w:spacing w:after="0" w:line="247" w:lineRule="auto"/>
            </w:pPr>
            <w:r>
              <w:rPr>
                <w:rFonts w:ascii="Arial" w:hAnsi="Arial"/>
                <w:b/>
                <w:color w:val="1F2937"/>
                <w:sz w:val="17"/>
              </w:rPr>
              <w:t>Knowledge gate</w:t>
            </w:r>
          </w:p>
        </w:tc>
        <w:tc>
          <w:tcPr>
            <w:tcW w:type="dxa" w:w="7703"/>
            <w:tcMar>
              <w:top w:w="90" w:type="dxa"/>
              <w:start w:w="100" w:type="dxa"/>
              <w:bottom w:w="90" w:type="dxa"/>
              <w:end w:w="100" w:type="dxa"/>
            </w:tcMar>
            <w:vAlign w:val="center"/>
          </w:tcPr>
          <w:p>
            <w:pPr>
              <w:spacing w:after="0" w:line="247" w:lineRule="auto"/>
            </w:pPr>
            <w:r>
              <w:rPr>
                <w:rFonts w:ascii="Arial" w:hAnsi="Arial"/>
                <w:b w:val="0"/>
                <w:color w:val="1F2937"/>
                <w:sz w:val="17"/>
              </w:rPr>
              <w:t>All assigned knowledge approved, effective, synchronized and regression-tested.</w:t>
            </w:r>
          </w:p>
        </w:tc>
      </w:tr>
      <w:tr>
        <w:tc>
          <w:tcPr>
            <w:tcW w:type="dxa" w:w="2232"/>
            <w:tcMar>
              <w:top w:w="90" w:type="dxa"/>
              <w:start w:w="100" w:type="dxa"/>
              <w:bottom w:w="90" w:type="dxa"/>
              <w:end w:w="100" w:type="dxa"/>
            </w:tcMar>
            <w:vAlign w:val="center"/>
            <w:shd w:fill="FAFBFC"/>
          </w:tcPr>
          <w:p>
            <w:pPr>
              <w:spacing w:after="0" w:line="247" w:lineRule="auto"/>
            </w:pPr>
            <w:r>
              <w:rPr>
                <w:rFonts w:ascii="Arial" w:hAnsi="Arial"/>
                <w:b/>
                <w:color w:val="1F2937"/>
                <w:sz w:val="17"/>
              </w:rPr>
              <w:t>Voice gate</w:t>
            </w:r>
          </w:p>
        </w:tc>
        <w:tc>
          <w:tcPr>
            <w:tcW w:type="dxa" w:w="7703"/>
            <w:tcMar>
              <w:top w:w="90" w:type="dxa"/>
              <w:start w:w="100" w:type="dxa"/>
              <w:bottom w:w="90" w:type="dxa"/>
              <w:end w:w="100" w:type="dxa"/>
            </w:tcMar>
            <w:vAlign w:val="center"/>
            <w:shd w:fill="FAFBFC"/>
          </w:tcPr>
          <w:p>
            <w:pPr>
              <w:spacing w:after="0" w:line="247" w:lineRule="auto"/>
            </w:pPr>
            <w:r>
              <w:rPr>
                <w:rFonts w:ascii="Arial" w:hAnsi="Arial"/>
                <w:b w:val="0"/>
                <w:color w:val="1F2937"/>
                <w:sz w:val="17"/>
              </w:rPr>
              <w:t>Active voice is approved, available and tested for each production language.</w:t>
            </w:r>
          </w:p>
        </w:tc>
      </w:tr>
      <w:tr>
        <w:tc>
          <w:tcPr>
            <w:tcW w:type="dxa" w:w="2232"/>
            <w:tcMar>
              <w:top w:w="90" w:type="dxa"/>
              <w:start w:w="100" w:type="dxa"/>
              <w:bottom w:w="90" w:type="dxa"/>
              <w:end w:w="100" w:type="dxa"/>
            </w:tcMar>
            <w:vAlign w:val="center"/>
          </w:tcPr>
          <w:p>
            <w:pPr>
              <w:spacing w:after="0" w:line="247" w:lineRule="auto"/>
            </w:pPr>
            <w:r>
              <w:rPr>
                <w:rFonts w:ascii="Arial" w:hAnsi="Arial"/>
                <w:b/>
                <w:color w:val="1F2937"/>
                <w:sz w:val="17"/>
              </w:rPr>
              <w:t>Test gate</w:t>
            </w:r>
          </w:p>
        </w:tc>
        <w:tc>
          <w:tcPr>
            <w:tcW w:type="dxa" w:w="7703"/>
            <w:tcMar>
              <w:top w:w="90" w:type="dxa"/>
              <w:start w:w="100" w:type="dxa"/>
              <w:bottom w:w="90" w:type="dxa"/>
              <w:end w:w="100" w:type="dxa"/>
            </w:tcMar>
            <w:vAlign w:val="center"/>
          </w:tcPr>
          <w:p>
            <w:pPr>
              <w:spacing w:after="0" w:line="247" w:lineRule="auto"/>
            </w:pPr>
            <w:r>
              <w:rPr>
                <w:rFonts w:ascii="Arial" w:hAnsi="Arial"/>
                <w:b w:val="0"/>
                <w:color w:val="1F2937"/>
                <w:sz w:val="17"/>
              </w:rPr>
              <w:t>Required next-reply, tool and simulation suites meet pass thresholds.</w:t>
            </w:r>
          </w:p>
        </w:tc>
      </w:tr>
      <w:tr>
        <w:tc>
          <w:tcPr>
            <w:tcW w:type="dxa" w:w="2232"/>
            <w:tcMar>
              <w:top w:w="90" w:type="dxa"/>
              <w:start w:w="100" w:type="dxa"/>
              <w:bottom w:w="90" w:type="dxa"/>
              <w:end w:w="100" w:type="dxa"/>
            </w:tcMar>
            <w:vAlign w:val="center"/>
            <w:shd w:fill="FAFBFC"/>
          </w:tcPr>
          <w:p>
            <w:pPr>
              <w:spacing w:after="0" w:line="247" w:lineRule="auto"/>
            </w:pPr>
            <w:r>
              <w:rPr>
                <w:rFonts w:ascii="Arial" w:hAnsi="Arial"/>
                <w:b/>
                <w:color w:val="1F2937"/>
                <w:sz w:val="17"/>
              </w:rPr>
              <w:t>Integration gate</w:t>
            </w:r>
          </w:p>
        </w:tc>
        <w:tc>
          <w:tcPr>
            <w:tcW w:type="dxa" w:w="7703"/>
            <w:tcMar>
              <w:top w:w="90" w:type="dxa"/>
              <w:start w:w="100" w:type="dxa"/>
              <w:bottom w:w="90" w:type="dxa"/>
              <w:end w:w="100" w:type="dxa"/>
            </w:tcMar>
            <w:vAlign w:val="center"/>
            <w:shd w:fill="FAFBFC"/>
          </w:tcPr>
          <w:p>
            <w:pPr>
              <w:spacing w:after="0" w:line="247" w:lineRule="auto"/>
            </w:pPr>
            <w:r>
              <w:rPr>
                <w:rFonts w:ascii="Arial" w:hAnsi="Arial"/>
                <w:b w:val="0"/>
                <w:color w:val="1F2937"/>
                <w:sz w:val="17"/>
              </w:rPr>
              <w:t>Personalization, tools, handoff and business adapters pass contract and failure tests.</w:t>
            </w:r>
          </w:p>
        </w:tc>
      </w:tr>
      <w:tr>
        <w:tc>
          <w:tcPr>
            <w:tcW w:type="dxa" w:w="2232"/>
            <w:tcMar>
              <w:top w:w="90" w:type="dxa"/>
              <w:start w:w="100" w:type="dxa"/>
              <w:bottom w:w="90" w:type="dxa"/>
              <w:end w:w="100" w:type="dxa"/>
            </w:tcMar>
            <w:vAlign w:val="center"/>
          </w:tcPr>
          <w:p>
            <w:pPr>
              <w:spacing w:after="0" w:line="247" w:lineRule="auto"/>
            </w:pPr>
            <w:r>
              <w:rPr>
                <w:rFonts w:ascii="Arial" w:hAnsi="Arial"/>
                <w:b/>
                <w:color w:val="1F2937"/>
                <w:sz w:val="17"/>
              </w:rPr>
              <w:t>Intelligence gate</w:t>
            </w:r>
          </w:p>
        </w:tc>
        <w:tc>
          <w:tcPr>
            <w:tcW w:type="dxa" w:w="7703"/>
            <w:tcMar>
              <w:top w:w="90" w:type="dxa"/>
              <w:start w:w="100" w:type="dxa"/>
              <w:bottom w:w="90" w:type="dxa"/>
              <w:end w:w="100" w:type="dxa"/>
            </w:tcMar>
            <w:vAlign w:val="center"/>
          </w:tcPr>
          <w:p>
            <w:pPr>
              <w:spacing w:after="0" w:line="247" w:lineRule="auto"/>
            </w:pPr>
            <w:r>
              <w:rPr>
                <w:rFonts w:ascii="Arial" w:hAnsi="Arial"/>
                <w:b w:val="0"/>
                <w:color w:val="1F2937"/>
                <w:sz w:val="17"/>
              </w:rPr>
              <w:t>Webhook ingestion, transcript, summary, classification, timeline and reporting operate end to end.</w:t>
            </w:r>
          </w:p>
        </w:tc>
      </w:tr>
      <w:tr>
        <w:tc>
          <w:tcPr>
            <w:tcW w:type="dxa" w:w="2232"/>
            <w:tcMar>
              <w:top w:w="90" w:type="dxa"/>
              <w:start w:w="100" w:type="dxa"/>
              <w:bottom w:w="90" w:type="dxa"/>
              <w:end w:w="100" w:type="dxa"/>
            </w:tcMar>
            <w:vAlign w:val="center"/>
            <w:shd w:fill="FAFBFC"/>
          </w:tcPr>
          <w:p>
            <w:pPr>
              <w:spacing w:after="0" w:line="247" w:lineRule="auto"/>
            </w:pPr>
            <w:r>
              <w:rPr>
                <w:rFonts w:ascii="Arial" w:hAnsi="Arial"/>
                <w:b/>
                <w:color w:val="1F2937"/>
                <w:sz w:val="17"/>
              </w:rPr>
              <w:t>Security/privacy gate</w:t>
            </w:r>
          </w:p>
        </w:tc>
        <w:tc>
          <w:tcPr>
            <w:tcW w:type="dxa" w:w="7703"/>
            <w:tcMar>
              <w:top w:w="90" w:type="dxa"/>
              <w:start w:w="100" w:type="dxa"/>
              <w:bottom w:w="90" w:type="dxa"/>
              <w:end w:w="100" w:type="dxa"/>
            </w:tcMar>
            <w:vAlign w:val="center"/>
            <w:shd w:fill="FAFBFC"/>
          </w:tcPr>
          <w:p>
            <w:pPr>
              <w:spacing w:after="0" w:line="247" w:lineRule="auto"/>
            </w:pPr>
            <w:r>
              <w:rPr>
                <w:rFonts w:ascii="Arial" w:hAnsi="Arial"/>
                <w:b w:val="0"/>
                <w:color w:val="1F2937"/>
                <w:sz w:val="17"/>
              </w:rPr>
              <w:t>No critical/high findings; secrets, RBAC, retention, webhook security and audit verified.</w:t>
            </w:r>
          </w:p>
        </w:tc>
      </w:tr>
      <w:tr>
        <w:tc>
          <w:tcPr>
            <w:tcW w:type="dxa" w:w="2232"/>
            <w:tcMar>
              <w:top w:w="90" w:type="dxa"/>
              <w:start w:w="100" w:type="dxa"/>
              <w:bottom w:w="90" w:type="dxa"/>
              <w:end w:w="100" w:type="dxa"/>
            </w:tcMar>
            <w:vAlign w:val="center"/>
          </w:tcPr>
          <w:p>
            <w:pPr>
              <w:spacing w:after="0" w:line="247" w:lineRule="auto"/>
            </w:pPr>
            <w:r>
              <w:rPr>
                <w:rFonts w:ascii="Arial" w:hAnsi="Arial"/>
                <w:b/>
                <w:color w:val="1F2937"/>
                <w:sz w:val="17"/>
              </w:rPr>
              <w:t>Operational gate</w:t>
            </w:r>
          </w:p>
        </w:tc>
        <w:tc>
          <w:tcPr>
            <w:tcW w:type="dxa" w:w="7703"/>
            <w:tcMar>
              <w:top w:w="90" w:type="dxa"/>
              <w:start w:w="100" w:type="dxa"/>
              <w:bottom w:w="90" w:type="dxa"/>
              <w:end w:w="100" w:type="dxa"/>
            </w:tcMar>
            <w:vAlign w:val="center"/>
          </w:tcPr>
          <w:p>
            <w:pPr>
              <w:spacing w:after="0" w:line="247" w:lineRule="auto"/>
            </w:pPr>
            <w:r>
              <w:rPr>
                <w:rFonts w:ascii="Arial" w:hAnsi="Arial"/>
                <w:b w:val="0"/>
                <w:color w:val="1F2937"/>
                <w:sz w:val="17"/>
              </w:rPr>
              <w:t>Queues, owners, SLAs, alerts, runbooks, support and rollback are ready.</w:t>
            </w:r>
          </w:p>
        </w:tc>
      </w:tr>
      <w:tr>
        <w:tc>
          <w:tcPr>
            <w:tcW w:type="dxa" w:w="2232"/>
            <w:tcMar>
              <w:top w:w="90" w:type="dxa"/>
              <w:start w:w="100" w:type="dxa"/>
              <w:bottom w:w="90" w:type="dxa"/>
              <w:end w:w="100" w:type="dxa"/>
            </w:tcMar>
            <w:vAlign w:val="center"/>
            <w:shd w:fill="FAFBFC"/>
          </w:tcPr>
          <w:p>
            <w:pPr>
              <w:spacing w:after="0" w:line="247" w:lineRule="auto"/>
            </w:pPr>
            <w:r>
              <w:rPr>
                <w:rFonts w:ascii="Arial" w:hAnsi="Arial"/>
                <w:b/>
                <w:color w:val="1F2937"/>
                <w:sz w:val="17"/>
              </w:rPr>
              <w:t>External approval gate</w:t>
            </w:r>
          </w:p>
        </w:tc>
        <w:tc>
          <w:tcPr>
            <w:tcW w:type="dxa" w:w="7703"/>
            <w:tcMar>
              <w:top w:w="90" w:type="dxa"/>
              <w:start w:w="100" w:type="dxa"/>
              <w:bottom w:w="90" w:type="dxa"/>
              <w:end w:w="100" w:type="dxa"/>
            </w:tcMar>
            <w:vAlign w:val="center"/>
            <w:shd w:fill="FAFBFC"/>
          </w:tcPr>
          <w:p>
            <w:pPr>
              <w:spacing w:after="0" w:line="247" w:lineRule="auto"/>
            </w:pPr>
            <w:r>
              <w:rPr>
                <w:rFonts w:ascii="Arial" w:hAnsi="Arial"/>
                <w:b w:val="0"/>
                <w:color w:val="1F2937"/>
                <w:sz w:val="17"/>
              </w:rPr>
              <w:t>Legal/privacy, content owners, native speakers, telephone routing and provider onboarding approved.</w:t>
            </w:r>
          </w:p>
        </w:tc>
      </w:tr>
    </w:tbl>
    <w:p>
      <w:pPr>
        <w:spacing w:after="40"/>
      </w:pPr>
    </w:p>
    <w:p>
      <w:pPr>
        <w:pStyle w:val="Heading2"/>
        <w:keepNext/>
      </w:pPr>
      <w:r>
        <w:rPr>
          <w:rFonts w:ascii="Arial" w:hAnsi="Arial"/>
        </w:rPr>
        <w:t>15.3 Definition of done</w:t>
      </w:r>
    </w:p>
    <w:p>
      <w:pPr>
        <w:pStyle w:val="ListBullet"/>
        <w:spacing w:before="0" w:after="60" w:line="259" w:lineRule="auto"/>
      </w:pPr>
      <w:r>
        <w:rPr>
          <w:rFonts w:ascii="Arial" w:hAnsi="Arial"/>
          <w:sz w:val="20"/>
        </w:rPr>
        <w:t>All functional and non-functional requirements are traced to implemented modules, tests and evidence.</w:t>
      </w:r>
    </w:p>
    <w:p>
      <w:pPr>
        <w:pStyle w:val="ListBullet"/>
        <w:spacing w:before="0" w:after="60" w:line="259" w:lineRule="auto"/>
      </w:pPr>
      <w:r>
        <w:rPr>
          <w:rFonts w:ascii="Arial" w:hAnsi="Arial"/>
          <w:sz w:val="20"/>
        </w:rPr>
        <w:t>Normal users can manage the complete supported ElevenLabs lifecycle from the Quantum Parks application.</w:t>
      </w:r>
    </w:p>
    <w:p>
      <w:pPr>
        <w:pStyle w:val="ListBullet"/>
        <w:spacing w:before="0" w:after="60" w:line="259" w:lineRule="auto"/>
      </w:pPr>
      <w:r>
        <w:rPr>
          <w:rFonts w:ascii="Arial" w:hAnsi="Arial"/>
          <w:sz w:val="20"/>
        </w:rPr>
        <w:t>Agent, knowledge, voice and test synchronization works with visible failure and reconciliation.</w:t>
      </w:r>
    </w:p>
    <w:p>
      <w:pPr>
        <w:pStyle w:val="ListBullet"/>
        <w:spacing w:before="0" w:after="60" w:line="259" w:lineRule="auto"/>
      </w:pPr>
      <w:r>
        <w:rPr>
          <w:rFonts w:ascii="Arial" w:hAnsi="Arial"/>
          <w:sz w:val="20"/>
        </w:rPr>
        <w:t>A synthetic end-to-end call produces the provider transcript, canonical transcript, Quantum Parks summary, classification, customer timeline, message/task and report aggregate.</w:t>
      </w:r>
    </w:p>
    <w:p>
      <w:pPr>
        <w:pStyle w:val="ListBullet"/>
        <w:spacing w:before="0" w:after="60" w:line="259" w:lineRule="auto"/>
      </w:pPr>
      <w:r>
        <w:rPr>
          <w:rFonts w:ascii="Arial" w:hAnsi="Arial"/>
          <w:sz w:val="20"/>
        </w:rPr>
        <w:t>Production controls reject synthetic, draft, sandbox, unapproved or out-of-sync dependencies.</w:t>
      </w:r>
    </w:p>
    <w:p>
      <w:pPr>
        <w:pStyle w:val="ListBullet"/>
        <w:spacing w:before="0" w:after="60" w:line="259" w:lineRule="auto"/>
      </w:pPr>
      <w:r>
        <w:rPr>
          <w:rFonts w:ascii="Arial" w:hAnsi="Arial"/>
          <w:sz w:val="20"/>
        </w:rPr>
        <w:t>Security, accessibility, load, failure, backup/restore and release tests pass.</w:t>
      </w:r>
    </w:p>
    <w:p>
      <w:pPr>
        <w:pStyle w:val="ListBullet"/>
        <w:spacing w:before="0" w:after="60" w:line="259" w:lineRule="auto"/>
      </w:pPr>
      <w:r>
        <w:rPr>
          <w:rFonts w:ascii="Arial" w:hAnsi="Arial"/>
          <w:sz w:val="20"/>
        </w:rPr>
        <w:t>Remaining gaps are limited to explicitly documented external provider, account, legal, content or proprietary-API onboarding.</w:t>
      </w:r>
    </w:p>
    <w:p>
      <w:pPr>
        <w:pStyle w:val="Heading1"/>
        <w:keepNext/>
        <w:pageBreakBefore w:val="0"/>
      </w:pPr>
      <w:r>
        <w:rPr>
          <w:rFonts w:ascii="Arial" w:hAnsi="Arial"/>
        </w:rPr>
        <w:t>16  Risks, dependencies and mitigations</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3168"/>
        <w:gridCol w:w="1080"/>
        <w:gridCol w:w="5688"/>
      </w:tblGrid>
      <w:tr>
        <w:trPr>
          <w:tblHeader w:val="true"/>
        </w:trPr>
        <w:tc>
          <w:tcPr>
            <w:tcW w:type="dxa" w:w="3168"/>
            <w:shd w:fill="12304A"/>
            <w:tcMar>
              <w:top w:w="100" w:type="dxa"/>
              <w:start w:w="100" w:type="dxa"/>
              <w:bottom w:w="100" w:type="dxa"/>
              <w:end w:w="100" w:type="dxa"/>
            </w:tcMar>
            <w:vAlign w:val="center"/>
          </w:tcPr>
          <w:p>
            <w:pPr>
              <w:spacing w:after="0"/>
              <w:jc w:val="center"/>
            </w:pPr>
            <w:r>
              <w:rPr>
                <w:rFonts w:ascii="Arial" w:hAnsi="Arial"/>
                <w:b/>
                <w:color w:val="FFFFFF"/>
                <w:sz w:val="18"/>
              </w:rPr>
              <w:t>Risk</w:t>
            </w:r>
          </w:p>
        </w:tc>
        <w:tc>
          <w:tcPr>
            <w:tcW w:type="dxa" w:w="1080"/>
            <w:shd w:fill="12304A"/>
            <w:tcMar>
              <w:top w:w="100" w:type="dxa"/>
              <w:start w:w="100" w:type="dxa"/>
              <w:bottom w:w="100" w:type="dxa"/>
              <w:end w:w="100" w:type="dxa"/>
            </w:tcMar>
            <w:vAlign w:val="center"/>
          </w:tcPr>
          <w:p>
            <w:pPr>
              <w:spacing w:after="0"/>
              <w:jc w:val="center"/>
            </w:pPr>
            <w:r>
              <w:rPr>
                <w:rFonts w:ascii="Arial" w:hAnsi="Arial"/>
                <w:b/>
                <w:color w:val="FFFFFF"/>
                <w:sz w:val="18"/>
              </w:rPr>
              <w:t>Impact</w:t>
            </w:r>
          </w:p>
        </w:tc>
        <w:tc>
          <w:tcPr>
            <w:tcW w:type="dxa" w:w="5688"/>
            <w:shd w:fill="12304A"/>
            <w:tcMar>
              <w:top w:w="100" w:type="dxa"/>
              <w:start w:w="100" w:type="dxa"/>
              <w:bottom w:w="100" w:type="dxa"/>
              <w:end w:w="100" w:type="dxa"/>
            </w:tcMar>
            <w:vAlign w:val="center"/>
          </w:tcPr>
          <w:p>
            <w:pPr>
              <w:spacing w:after="0"/>
              <w:jc w:val="center"/>
            </w:pPr>
            <w:r>
              <w:rPr>
                <w:rFonts w:ascii="Arial" w:hAnsi="Arial"/>
                <w:b/>
                <w:color w:val="FFFFFF"/>
                <w:sz w:val="18"/>
              </w:rPr>
              <w:t>Mitigation</w:t>
            </w:r>
          </w:p>
        </w:tc>
      </w:tr>
      <w:tr>
        <w:tc>
          <w:tcPr>
            <w:tcW w:type="dxa" w:w="3168"/>
            <w:tcMar>
              <w:top w:w="90" w:type="dxa"/>
              <w:start w:w="100" w:type="dxa"/>
              <w:bottom w:w="90" w:type="dxa"/>
              <w:end w:w="100" w:type="dxa"/>
            </w:tcMar>
            <w:vAlign w:val="center"/>
          </w:tcPr>
          <w:p>
            <w:pPr>
              <w:spacing w:after="0" w:line="247" w:lineRule="auto"/>
            </w:pPr>
            <w:r>
              <w:rPr>
                <w:rFonts w:ascii="Arial" w:hAnsi="Arial"/>
                <w:b/>
                <w:color w:val="1F2937"/>
                <w:sz w:val="16"/>
              </w:rPr>
              <w:t>Provider API coverage does not expose every console function</w:t>
            </w:r>
          </w:p>
        </w:tc>
        <w:tc>
          <w:tcPr>
            <w:tcW w:type="dxa" w:w="1080"/>
            <w:tcMar>
              <w:top w:w="90" w:type="dxa"/>
              <w:start w:w="100" w:type="dxa"/>
              <w:bottom w:w="90" w:type="dxa"/>
              <w:end w:w="100" w:type="dxa"/>
            </w:tcMar>
            <w:vAlign w:val="center"/>
          </w:tcPr>
          <w:p>
            <w:pPr>
              <w:spacing w:after="0" w:line="247" w:lineRule="auto"/>
              <w:jc w:val="center"/>
            </w:pPr>
            <w:r>
              <w:rPr>
                <w:rFonts w:ascii="Arial" w:hAnsi="Arial"/>
                <w:b w:val="0"/>
                <w:color w:val="1F2937"/>
                <w:sz w:val="16"/>
              </w:rPr>
              <w:t>High</w:t>
            </w:r>
          </w:p>
        </w:tc>
        <w:tc>
          <w:tcPr>
            <w:tcW w:type="dxa" w:w="5688"/>
            <w:tcMar>
              <w:top w:w="90" w:type="dxa"/>
              <w:start w:w="100" w:type="dxa"/>
              <w:bottom w:w="90" w:type="dxa"/>
              <w:end w:w="100" w:type="dxa"/>
            </w:tcMar>
            <w:vAlign w:val="center"/>
          </w:tcPr>
          <w:p>
            <w:pPr>
              <w:spacing w:after="0" w:line="247" w:lineRule="auto"/>
            </w:pPr>
            <w:r>
              <w:rPr>
                <w:rFonts w:ascii="Arial" w:hAnsi="Arial"/>
                <w:b w:val="0"/>
                <w:color w:val="1F2937"/>
                <w:sz w:val="16"/>
              </w:rPr>
              <w:t>Define the normal-user requirement around supported APIs; isolate unavoidable account/billing tasks to a restricted vendor admin; maintain an external dependency register.</w:t>
            </w:r>
          </w:p>
        </w:tc>
      </w:tr>
      <w:tr>
        <w:tc>
          <w:tcPr>
            <w:tcW w:type="dxa" w:w="3168"/>
            <w:tcMar>
              <w:top w:w="90" w:type="dxa"/>
              <w:start w:w="100" w:type="dxa"/>
              <w:bottom w:w="90" w:type="dxa"/>
              <w:end w:w="100" w:type="dxa"/>
            </w:tcMar>
            <w:vAlign w:val="center"/>
            <w:shd w:fill="FAFBFC"/>
          </w:tcPr>
          <w:p>
            <w:pPr>
              <w:spacing w:after="0" w:line="247" w:lineRule="auto"/>
            </w:pPr>
            <w:r>
              <w:rPr>
                <w:rFonts w:ascii="Arial" w:hAnsi="Arial"/>
                <w:b/>
                <w:color w:val="1F2937"/>
                <w:sz w:val="16"/>
              </w:rPr>
              <w:t>Provider API or payload changes</w:t>
            </w:r>
          </w:p>
        </w:tc>
        <w:tc>
          <w:tcPr>
            <w:tcW w:type="dxa" w:w="1080"/>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High</w:t>
            </w:r>
          </w:p>
        </w:tc>
        <w:tc>
          <w:tcPr>
            <w:tcW w:type="dxa" w:w="5688"/>
            <w:tcMar>
              <w:top w:w="90" w:type="dxa"/>
              <w:start w:w="100" w:type="dxa"/>
              <w:bottom w:w="90" w:type="dxa"/>
              <w:end w:w="100" w:type="dxa"/>
            </w:tcMar>
            <w:vAlign w:val="center"/>
            <w:shd w:fill="FAFBFC"/>
          </w:tcPr>
          <w:p>
            <w:pPr>
              <w:spacing w:after="0" w:line="247" w:lineRule="auto"/>
            </w:pPr>
            <w:r>
              <w:rPr>
                <w:rFonts w:ascii="Arial" w:hAnsi="Arial"/>
                <w:b w:val="0"/>
                <w:color w:val="1F2937"/>
                <w:sz w:val="16"/>
              </w:rPr>
              <w:t>Use an adapter layer, schema-tolerant webhooks, contract tests, reconciliation and version-pinned SDKs.</w:t>
            </w:r>
          </w:p>
        </w:tc>
      </w:tr>
      <w:tr>
        <w:tc>
          <w:tcPr>
            <w:tcW w:type="dxa" w:w="3168"/>
            <w:tcMar>
              <w:top w:w="90" w:type="dxa"/>
              <w:start w:w="100" w:type="dxa"/>
              <w:bottom w:w="90" w:type="dxa"/>
              <w:end w:w="100" w:type="dxa"/>
            </w:tcMar>
            <w:vAlign w:val="center"/>
          </w:tcPr>
          <w:p>
            <w:pPr>
              <w:spacing w:after="0" w:line="247" w:lineRule="auto"/>
            </w:pPr>
            <w:r>
              <w:rPr>
                <w:rFonts w:ascii="Arial" w:hAnsi="Arial"/>
                <w:b/>
                <w:color w:val="1F2937"/>
                <w:sz w:val="16"/>
              </w:rPr>
              <w:t>Knowledge quality or conflicting content</w:t>
            </w:r>
          </w:p>
        </w:tc>
        <w:tc>
          <w:tcPr>
            <w:tcW w:type="dxa" w:w="1080"/>
            <w:tcMar>
              <w:top w:w="90" w:type="dxa"/>
              <w:start w:w="100" w:type="dxa"/>
              <w:bottom w:w="90" w:type="dxa"/>
              <w:end w:w="100" w:type="dxa"/>
            </w:tcMar>
            <w:vAlign w:val="center"/>
          </w:tcPr>
          <w:p>
            <w:pPr>
              <w:spacing w:after="0" w:line="247" w:lineRule="auto"/>
              <w:jc w:val="center"/>
            </w:pPr>
            <w:r>
              <w:rPr>
                <w:rFonts w:ascii="Arial" w:hAnsi="Arial"/>
                <w:b w:val="0"/>
                <w:color w:val="1F2937"/>
                <w:sz w:val="16"/>
              </w:rPr>
              <w:t>High</w:t>
            </w:r>
          </w:p>
        </w:tc>
        <w:tc>
          <w:tcPr>
            <w:tcW w:type="dxa" w:w="5688"/>
            <w:tcMar>
              <w:top w:w="90" w:type="dxa"/>
              <w:start w:w="100" w:type="dxa"/>
              <w:bottom w:w="90" w:type="dxa"/>
              <w:end w:w="100" w:type="dxa"/>
            </w:tcMar>
            <w:vAlign w:val="center"/>
          </w:tcPr>
          <w:p>
            <w:pPr>
              <w:spacing w:after="0" w:line="247" w:lineRule="auto"/>
            </w:pPr>
            <w:r>
              <w:rPr>
                <w:rFonts w:ascii="Arial" w:hAnsi="Arial"/>
                <w:b w:val="0"/>
                <w:color w:val="1F2937"/>
                <w:sz w:val="16"/>
              </w:rPr>
              <w:t>Ownership, effective dates, enhanced approval, conflict detection and regression tests.</w:t>
            </w:r>
          </w:p>
        </w:tc>
      </w:tr>
      <w:tr>
        <w:tc>
          <w:tcPr>
            <w:tcW w:type="dxa" w:w="3168"/>
            <w:tcMar>
              <w:top w:w="90" w:type="dxa"/>
              <w:start w:w="100" w:type="dxa"/>
              <w:bottom w:w="90" w:type="dxa"/>
              <w:end w:w="100" w:type="dxa"/>
            </w:tcMar>
            <w:vAlign w:val="center"/>
            <w:shd w:fill="FAFBFC"/>
          </w:tcPr>
          <w:p>
            <w:pPr>
              <w:spacing w:after="0" w:line="247" w:lineRule="auto"/>
            </w:pPr>
            <w:r>
              <w:rPr>
                <w:rFonts w:ascii="Arial" w:hAnsi="Arial"/>
                <w:b/>
                <w:color w:val="1F2937"/>
                <w:sz w:val="16"/>
              </w:rPr>
              <w:t>Transcript errors create incorrect intelligence</w:t>
            </w:r>
          </w:p>
        </w:tc>
        <w:tc>
          <w:tcPr>
            <w:tcW w:type="dxa" w:w="1080"/>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High</w:t>
            </w:r>
          </w:p>
        </w:tc>
        <w:tc>
          <w:tcPr>
            <w:tcW w:type="dxa" w:w="5688"/>
            <w:tcMar>
              <w:top w:w="90" w:type="dxa"/>
              <w:start w:w="100" w:type="dxa"/>
              <w:bottom w:w="90" w:type="dxa"/>
              <w:end w:w="100" w:type="dxa"/>
            </w:tcMar>
            <w:vAlign w:val="center"/>
            <w:shd w:fill="FAFBFC"/>
          </w:tcPr>
          <w:p>
            <w:pPr>
              <w:spacing w:after="0" w:line="247" w:lineRule="auto"/>
            </w:pPr>
            <w:r>
              <w:rPr>
                <w:rFonts w:ascii="Arial" w:hAnsi="Arial"/>
                <w:b w:val="0"/>
                <w:color w:val="1F2937"/>
                <w:sz w:val="16"/>
              </w:rPr>
              <w:t>Preserve raw transcript, store confidence, allow correction, sample QA and use evidence-linked summaries.</w:t>
            </w:r>
          </w:p>
        </w:tc>
      </w:tr>
      <w:tr>
        <w:tc>
          <w:tcPr>
            <w:tcW w:type="dxa" w:w="3168"/>
            <w:tcMar>
              <w:top w:w="90" w:type="dxa"/>
              <w:start w:w="100" w:type="dxa"/>
              <w:bottom w:w="90" w:type="dxa"/>
              <w:end w:w="100" w:type="dxa"/>
            </w:tcMar>
            <w:vAlign w:val="center"/>
          </w:tcPr>
          <w:p>
            <w:pPr>
              <w:spacing w:after="0" w:line="247" w:lineRule="auto"/>
            </w:pPr>
            <w:r>
              <w:rPr>
                <w:rFonts w:ascii="Arial" w:hAnsi="Arial"/>
                <w:b/>
                <w:color w:val="1F2937"/>
                <w:sz w:val="16"/>
              </w:rPr>
              <w:t>Direct remote edits cause configuration drift</w:t>
            </w:r>
          </w:p>
        </w:tc>
        <w:tc>
          <w:tcPr>
            <w:tcW w:type="dxa" w:w="1080"/>
            <w:tcMar>
              <w:top w:w="90" w:type="dxa"/>
              <w:start w:w="100" w:type="dxa"/>
              <w:bottom w:w="90" w:type="dxa"/>
              <w:end w:w="100" w:type="dxa"/>
            </w:tcMar>
            <w:vAlign w:val="center"/>
          </w:tcPr>
          <w:p>
            <w:pPr>
              <w:spacing w:after="0" w:line="247" w:lineRule="auto"/>
              <w:jc w:val="center"/>
            </w:pPr>
            <w:r>
              <w:rPr>
                <w:rFonts w:ascii="Arial" w:hAnsi="Arial"/>
                <w:b w:val="0"/>
                <w:color w:val="1F2937"/>
                <w:sz w:val="16"/>
              </w:rPr>
              <w:t>High</w:t>
            </w:r>
          </w:p>
        </w:tc>
        <w:tc>
          <w:tcPr>
            <w:tcW w:type="dxa" w:w="5688"/>
            <w:tcMar>
              <w:top w:w="90" w:type="dxa"/>
              <w:start w:w="100" w:type="dxa"/>
              <w:bottom w:w="90" w:type="dxa"/>
              <w:end w:w="100" w:type="dxa"/>
            </w:tcMar>
            <w:vAlign w:val="center"/>
          </w:tcPr>
          <w:p>
            <w:pPr>
              <w:spacing w:after="0" w:line="247" w:lineRule="auto"/>
            </w:pPr>
            <w:r>
              <w:rPr>
                <w:rFonts w:ascii="Arial" w:hAnsi="Arial"/>
                <w:b w:val="0"/>
                <w:color w:val="1F2937"/>
                <w:sz w:val="16"/>
              </w:rPr>
              <w:t>Scheduled reconciliation, drift alerts and a policy that Quantum Parks remains authoritative.</w:t>
            </w:r>
          </w:p>
        </w:tc>
      </w:tr>
      <w:tr>
        <w:tc>
          <w:tcPr>
            <w:tcW w:type="dxa" w:w="3168"/>
            <w:tcMar>
              <w:top w:w="90" w:type="dxa"/>
              <w:start w:w="100" w:type="dxa"/>
              <w:bottom w:w="90" w:type="dxa"/>
              <w:end w:w="100" w:type="dxa"/>
            </w:tcMar>
            <w:vAlign w:val="center"/>
            <w:shd w:fill="FAFBFC"/>
          </w:tcPr>
          <w:p>
            <w:pPr>
              <w:spacing w:after="0" w:line="247" w:lineRule="auto"/>
            </w:pPr>
            <w:r>
              <w:rPr>
                <w:rFonts w:ascii="Arial" w:hAnsi="Arial"/>
                <w:b/>
                <w:color w:val="1F2937"/>
                <w:sz w:val="16"/>
              </w:rPr>
              <w:t>Custom voice consent or misuse</w:t>
            </w:r>
          </w:p>
        </w:tc>
        <w:tc>
          <w:tcPr>
            <w:tcW w:type="dxa" w:w="1080"/>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High</w:t>
            </w:r>
          </w:p>
        </w:tc>
        <w:tc>
          <w:tcPr>
            <w:tcW w:type="dxa" w:w="5688"/>
            <w:tcMar>
              <w:top w:w="90" w:type="dxa"/>
              <w:start w:w="100" w:type="dxa"/>
              <w:bottom w:w="90" w:type="dxa"/>
              <w:end w:w="100" w:type="dxa"/>
            </w:tcMar>
            <w:vAlign w:val="center"/>
            <w:shd w:fill="FAFBFC"/>
          </w:tcPr>
          <w:p>
            <w:pPr>
              <w:spacing w:after="0" w:line="247" w:lineRule="auto"/>
            </w:pPr>
            <w:r>
              <w:rPr>
                <w:rFonts w:ascii="Arial" w:hAnsi="Arial"/>
                <w:b w:val="0"/>
                <w:color w:val="1F2937"/>
                <w:sz w:val="16"/>
              </w:rPr>
              <w:t>Restricted roles, documented consent, provider verification, approval and rapid disablement.</w:t>
            </w:r>
          </w:p>
        </w:tc>
      </w:tr>
      <w:tr>
        <w:tc>
          <w:tcPr>
            <w:tcW w:type="dxa" w:w="3168"/>
            <w:tcMar>
              <w:top w:w="90" w:type="dxa"/>
              <w:start w:w="100" w:type="dxa"/>
              <w:bottom w:w="90" w:type="dxa"/>
              <w:end w:w="100" w:type="dxa"/>
            </w:tcMar>
            <w:vAlign w:val="center"/>
          </w:tcPr>
          <w:p>
            <w:pPr>
              <w:spacing w:after="0" w:line="247" w:lineRule="auto"/>
            </w:pPr>
            <w:r>
              <w:rPr>
                <w:rFonts w:ascii="Arial" w:hAnsi="Arial"/>
                <w:b/>
                <w:color w:val="1F2937"/>
                <w:sz w:val="16"/>
              </w:rPr>
              <w:t>Webhook loss or duplication</w:t>
            </w:r>
          </w:p>
        </w:tc>
        <w:tc>
          <w:tcPr>
            <w:tcW w:type="dxa" w:w="1080"/>
            <w:tcMar>
              <w:top w:w="90" w:type="dxa"/>
              <w:start w:w="100" w:type="dxa"/>
              <w:bottom w:w="90" w:type="dxa"/>
              <w:end w:w="100" w:type="dxa"/>
            </w:tcMar>
            <w:vAlign w:val="center"/>
          </w:tcPr>
          <w:p>
            <w:pPr>
              <w:spacing w:after="0" w:line="247" w:lineRule="auto"/>
              <w:jc w:val="center"/>
            </w:pPr>
            <w:r>
              <w:rPr>
                <w:rFonts w:ascii="Arial" w:hAnsi="Arial"/>
                <w:b w:val="0"/>
                <w:color w:val="1F2937"/>
                <w:sz w:val="16"/>
              </w:rPr>
              <w:t>High</w:t>
            </w:r>
          </w:p>
        </w:tc>
        <w:tc>
          <w:tcPr>
            <w:tcW w:type="dxa" w:w="5688"/>
            <w:tcMar>
              <w:top w:w="90" w:type="dxa"/>
              <w:start w:w="100" w:type="dxa"/>
              <w:bottom w:w="90" w:type="dxa"/>
              <w:end w:w="100" w:type="dxa"/>
            </w:tcMar>
            <w:vAlign w:val="center"/>
          </w:tcPr>
          <w:p>
            <w:pPr>
              <w:spacing w:after="0" w:line="247" w:lineRule="auto"/>
            </w:pPr>
            <w:r>
              <w:rPr>
                <w:rFonts w:ascii="Arial" w:hAnsi="Arial"/>
                <w:b w:val="0"/>
                <w:color w:val="1F2937"/>
                <w:sz w:val="16"/>
              </w:rPr>
              <w:t>Signed idempotent ingestion, durable raw archive, retries and conversation reconciliation.</w:t>
            </w:r>
          </w:p>
        </w:tc>
      </w:tr>
      <w:tr>
        <w:tc>
          <w:tcPr>
            <w:tcW w:type="dxa" w:w="3168"/>
            <w:tcMar>
              <w:top w:w="90" w:type="dxa"/>
              <w:start w:w="100" w:type="dxa"/>
              <w:bottom w:w="90" w:type="dxa"/>
              <w:end w:w="100" w:type="dxa"/>
            </w:tcMar>
            <w:vAlign w:val="center"/>
            <w:shd w:fill="FAFBFC"/>
          </w:tcPr>
          <w:p>
            <w:pPr>
              <w:spacing w:after="0" w:line="247" w:lineRule="auto"/>
            </w:pPr>
            <w:r>
              <w:rPr>
                <w:rFonts w:ascii="Arial" w:hAnsi="Arial"/>
                <w:b/>
                <w:color w:val="1F2937"/>
                <w:sz w:val="16"/>
              </w:rPr>
              <w:t>Vendor outage interrupts calls or management</w:t>
            </w:r>
          </w:p>
        </w:tc>
        <w:tc>
          <w:tcPr>
            <w:tcW w:type="dxa" w:w="1080"/>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High</w:t>
            </w:r>
          </w:p>
        </w:tc>
        <w:tc>
          <w:tcPr>
            <w:tcW w:type="dxa" w:w="5688"/>
            <w:tcMar>
              <w:top w:w="90" w:type="dxa"/>
              <w:start w:w="100" w:type="dxa"/>
              <w:bottom w:w="90" w:type="dxa"/>
              <w:end w:w="100" w:type="dxa"/>
            </w:tcMar>
            <w:vAlign w:val="center"/>
            <w:shd w:fill="FAFBFC"/>
          </w:tcPr>
          <w:p>
            <w:pPr>
              <w:spacing w:after="0" w:line="247" w:lineRule="auto"/>
            </w:pPr>
            <w:r>
              <w:rPr>
                <w:rFonts w:ascii="Arial" w:hAnsi="Arial"/>
                <w:b w:val="0"/>
                <w:color w:val="1F2937"/>
                <w:sz w:val="16"/>
              </w:rPr>
              <w:t>Telephone fallback plan, provider status monitoring, controlled user messaging and documented continuity options.</w:t>
            </w:r>
          </w:p>
        </w:tc>
      </w:tr>
      <w:tr>
        <w:tc>
          <w:tcPr>
            <w:tcW w:type="dxa" w:w="3168"/>
            <w:tcMar>
              <w:top w:w="90" w:type="dxa"/>
              <w:start w:w="100" w:type="dxa"/>
              <w:bottom w:w="90" w:type="dxa"/>
              <w:end w:w="100" w:type="dxa"/>
            </w:tcMar>
            <w:vAlign w:val="center"/>
          </w:tcPr>
          <w:p>
            <w:pPr>
              <w:spacing w:after="0" w:line="247" w:lineRule="auto"/>
            </w:pPr>
            <w:r>
              <w:rPr>
                <w:rFonts w:ascii="Arial" w:hAnsi="Arial"/>
                <w:b/>
                <w:color w:val="1F2937"/>
                <w:sz w:val="16"/>
              </w:rPr>
              <w:t>Customer data is over-shared during personalization</w:t>
            </w:r>
          </w:p>
        </w:tc>
        <w:tc>
          <w:tcPr>
            <w:tcW w:type="dxa" w:w="1080"/>
            <w:tcMar>
              <w:top w:w="90" w:type="dxa"/>
              <w:start w:w="100" w:type="dxa"/>
              <w:bottom w:w="90" w:type="dxa"/>
              <w:end w:w="100" w:type="dxa"/>
            </w:tcMar>
            <w:vAlign w:val="center"/>
          </w:tcPr>
          <w:p>
            <w:pPr>
              <w:spacing w:after="0" w:line="247" w:lineRule="auto"/>
              <w:jc w:val="center"/>
            </w:pPr>
            <w:r>
              <w:rPr>
                <w:rFonts w:ascii="Arial" w:hAnsi="Arial"/>
                <w:b w:val="0"/>
                <w:color w:val="1F2937"/>
                <w:sz w:val="16"/>
              </w:rPr>
              <w:t>High</w:t>
            </w:r>
          </w:p>
        </w:tc>
        <w:tc>
          <w:tcPr>
            <w:tcW w:type="dxa" w:w="5688"/>
            <w:tcMar>
              <w:top w:w="90" w:type="dxa"/>
              <w:start w:w="100" w:type="dxa"/>
              <w:bottom w:w="90" w:type="dxa"/>
              <w:end w:w="100" w:type="dxa"/>
            </w:tcMar>
            <w:vAlign w:val="center"/>
          </w:tcPr>
          <w:p>
            <w:pPr>
              <w:spacing w:after="0" w:line="247" w:lineRule="auto"/>
            </w:pPr>
            <w:r>
              <w:rPr>
                <w:rFonts w:ascii="Arial" w:hAnsi="Arial"/>
                <w:b w:val="0"/>
                <w:color w:val="1F2937"/>
                <w:sz w:val="16"/>
              </w:rPr>
              <w:t>Minimum data, verification policies, field allowlists, snapshots and audit.</w:t>
            </w:r>
          </w:p>
        </w:tc>
      </w:tr>
      <w:tr>
        <w:tc>
          <w:tcPr>
            <w:tcW w:type="dxa" w:w="3168"/>
            <w:tcMar>
              <w:top w:w="90" w:type="dxa"/>
              <w:start w:w="100" w:type="dxa"/>
              <w:bottom w:w="90" w:type="dxa"/>
              <w:end w:w="100" w:type="dxa"/>
            </w:tcMar>
            <w:vAlign w:val="center"/>
            <w:shd w:fill="FAFBFC"/>
          </w:tcPr>
          <w:p>
            <w:pPr>
              <w:spacing w:after="0" w:line="247" w:lineRule="auto"/>
            </w:pPr>
            <w:r>
              <w:rPr>
                <w:rFonts w:ascii="Arial" w:hAnsi="Arial"/>
                <w:b/>
                <w:color w:val="1F2937"/>
                <w:sz w:val="16"/>
              </w:rPr>
              <w:t>Provider costs or quotas grow unexpectedly</w:t>
            </w:r>
          </w:p>
        </w:tc>
        <w:tc>
          <w:tcPr>
            <w:tcW w:type="dxa" w:w="1080"/>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Medium</w:t>
            </w:r>
          </w:p>
        </w:tc>
        <w:tc>
          <w:tcPr>
            <w:tcW w:type="dxa" w:w="5688"/>
            <w:tcMar>
              <w:top w:w="90" w:type="dxa"/>
              <w:start w:w="100" w:type="dxa"/>
              <w:bottom w:w="90" w:type="dxa"/>
              <w:end w:w="100" w:type="dxa"/>
            </w:tcMar>
            <w:vAlign w:val="center"/>
            <w:shd w:fill="FAFBFC"/>
          </w:tcPr>
          <w:p>
            <w:pPr>
              <w:spacing w:after="0" w:line="247" w:lineRule="auto"/>
            </w:pPr>
            <w:r>
              <w:rPr>
                <w:rFonts w:ascii="Arial" w:hAnsi="Arial"/>
                <w:b w:val="0"/>
                <w:color w:val="1F2937"/>
                <w:sz w:val="16"/>
              </w:rPr>
              <w:t>Usage dashboards, quotas, budgets, test controls and cost alerts.</w:t>
            </w:r>
          </w:p>
        </w:tc>
      </w:tr>
      <w:tr>
        <w:tc>
          <w:tcPr>
            <w:tcW w:type="dxa" w:w="3168"/>
            <w:tcMar>
              <w:top w:w="90" w:type="dxa"/>
              <w:start w:w="100" w:type="dxa"/>
              <w:bottom w:w="90" w:type="dxa"/>
              <w:end w:w="100" w:type="dxa"/>
            </w:tcMar>
            <w:vAlign w:val="center"/>
          </w:tcPr>
          <w:p>
            <w:pPr>
              <w:spacing w:after="0" w:line="247" w:lineRule="auto"/>
            </w:pPr>
            <w:r>
              <w:rPr>
                <w:rFonts w:ascii="Arial" w:hAnsi="Arial"/>
                <w:b/>
                <w:color w:val="1F2937"/>
                <w:sz w:val="16"/>
              </w:rPr>
              <w:t>Native-language quality is assumed rather than validated</w:t>
            </w:r>
          </w:p>
        </w:tc>
        <w:tc>
          <w:tcPr>
            <w:tcW w:type="dxa" w:w="1080"/>
            <w:tcMar>
              <w:top w:w="90" w:type="dxa"/>
              <w:start w:w="100" w:type="dxa"/>
              <w:bottom w:w="90" w:type="dxa"/>
              <w:end w:w="100" w:type="dxa"/>
            </w:tcMar>
            <w:vAlign w:val="center"/>
          </w:tcPr>
          <w:p>
            <w:pPr>
              <w:spacing w:after="0" w:line="247" w:lineRule="auto"/>
              <w:jc w:val="center"/>
            </w:pPr>
            <w:r>
              <w:rPr>
                <w:rFonts w:ascii="Arial" w:hAnsi="Arial"/>
                <w:b w:val="0"/>
                <w:color w:val="1F2937"/>
                <w:sz w:val="16"/>
              </w:rPr>
              <w:t>High</w:t>
            </w:r>
          </w:p>
        </w:tc>
        <w:tc>
          <w:tcPr>
            <w:tcW w:type="dxa" w:w="5688"/>
            <w:tcMar>
              <w:top w:w="90" w:type="dxa"/>
              <w:start w:w="100" w:type="dxa"/>
              <w:bottom w:w="90" w:type="dxa"/>
              <w:end w:w="100" w:type="dxa"/>
            </w:tcMar>
            <w:vAlign w:val="center"/>
          </w:tcPr>
          <w:p>
            <w:pPr>
              <w:spacing w:after="0" w:line="247" w:lineRule="auto"/>
            </w:pPr>
            <w:r>
              <w:rPr>
                <w:rFonts w:ascii="Arial" w:hAnsi="Arial"/>
                <w:b w:val="0"/>
                <w:color w:val="1F2937"/>
                <w:sz w:val="16"/>
              </w:rPr>
              <w:t>Human QA, approved test corpus and language activation gates.</w:t>
            </w:r>
          </w:p>
        </w:tc>
      </w:tr>
      <w:tr>
        <w:tc>
          <w:tcPr>
            <w:tcW w:type="dxa" w:w="3168"/>
            <w:tcMar>
              <w:top w:w="90" w:type="dxa"/>
              <w:start w:w="100" w:type="dxa"/>
              <w:bottom w:w="90" w:type="dxa"/>
              <w:end w:w="100" w:type="dxa"/>
            </w:tcMar>
            <w:vAlign w:val="center"/>
            <w:shd w:fill="FAFBFC"/>
          </w:tcPr>
          <w:p>
            <w:pPr>
              <w:spacing w:after="0" w:line="247" w:lineRule="auto"/>
            </w:pPr>
            <w:r>
              <w:rPr>
                <w:rFonts w:ascii="Arial" w:hAnsi="Arial"/>
                <w:b/>
                <w:color w:val="1F2937"/>
                <w:sz w:val="16"/>
              </w:rPr>
              <w:t>Booking/customer/Zendesk APIs are unavailable</w:t>
            </w:r>
          </w:p>
        </w:tc>
        <w:tc>
          <w:tcPr>
            <w:tcW w:type="dxa" w:w="1080"/>
            <w:tcMar>
              <w:top w:w="90" w:type="dxa"/>
              <w:start w:w="100" w:type="dxa"/>
              <w:bottom w:w="90" w:type="dxa"/>
              <w:end w:w="100" w:type="dxa"/>
            </w:tcMar>
            <w:vAlign w:val="center"/>
            <w:shd w:fill="FAFBFC"/>
          </w:tcPr>
          <w:p>
            <w:pPr>
              <w:spacing w:after="0" w:line="247" w:lineRule="auto"/>
              <w:jc w:val="center"/>
            </w:pPr>
            <w:r>
              <w:rPr>
                <w:rFonts w:ascii="Arial" w:hAnsi="Arial"/>
                <w:b w:val="0"/>
                <w:color w:val="1F2937"/>
                <w:sz w:val="16"/>
              </w:rPr>
              <w:t>High</w:t>
            </w:r>
          </w:p>
        </w:tc>
        <w:tc>
          <w:tcPr>
            <w:tcW w:type="dxa" w:w="5688"/>
            <w:tcMar>
              <w:top w:w="90" w:type="dxa"/>
              <w:start w:w="100" w:type="dxa"/>
              <w:bottom w:w="90" w:type="dxa"/>
              <w:end w:w="100" w:type="dxa"/>
            </w:tcMar>
            <w:vAlign w:val="center"/>
            <w:shd w:fill="FAFBFC"/>
          </w:tcPr>
          <w:p>
            <w:pPr>
              <w:spacing w:after="0" w:line="247" w:lineRule="auto"/>
            </w:pPr>
            <w:r>
              <w:rPr>
                <w:rFonts w:ascii="Arial" w:hAnsi="Arial"/>
                <w:b w:val="0"/>
                <w:color w:val="1F2937"/>
                <w:sz w:val="16"/>
              </w:rPr>
              <w:t>Contract-complete adapters and fixtures, read-only-first scope and explicit activation blockers.</w:t>
            </w:r>
          </w:p>
        </w:tc>
      </w:tr>
    </w:tbl>
    <w:p>
      <w:pPr>
        <w:spacing w:after="40"/>
      </w:pPr>
    </w:p>
    <w:p>
      <w:pPr>
        <w:pStyle w:val="Heading2"/>
        <w:keepNext/>
      </w:pPr>
      <w:r>
        <w:rPr>
          <w:rFonts w:ascii="Arial" w:hAnsi="Arial"/>
        </w:rPr>
        <w:t>16.1 Critical external dependencies</w:t>
      </w:r>
    </w:p>
    <w:p>
      <w:pPr>
        <w:pStyle w:val="ListBullet"/>
        <w:spacing w:before="0" w:after="60" w:line="259" w:lineRule="auto"/>
      </w:pPr>
      <w:r>
        <w:rPr>
          <w:rFonts w:ascii="Arial" w:hAnsi="Arial"/>
          <w:sz w:val="20"/>
        </w:rPr>
        <w:t>ElevenLabs plan and workspace with the required Agents, knowledge, testing, voice, webhook, security, region and retention capabilities.</w:t>
      </w:r>
    </w:p>
    <w:p>
      <w:pPr>
        <w:pStyle w:val="ListBullet"/>
        <w:spacing w:before="0" w:after="60" w:line="259" w:lineRule="auto"/>
      </w:pPr>
      <w:r>
        <w:rPr>
          <w:rFonts w:ascii="Arial" w:hAnsi="Arial"/>
          <w:sz w:val="20"/>
        </w:rPr>
        <w:t>Telephone routing from the current public number to the selected ElevenLabs-compatible telephony route.</w:t>
      </w:r>
    </w:p>
    <w:p>
      <w:pPr>
        <w:pStyle w:val="ListBullet"/>
        <w:spacing w:before="0" w:after="60" w:line="259" w:lineRule="auto"/>
      </w:pPr>
      <w:r>
        <w:rPr>
          <w:rFonts w:ascii="Arial" w:hAnsi="Arial"/>
          <w:sz w:val="20"/>
        </w:rPr>
        <w:t>Approved company content, content owners and high-risk approval responsibilities.</w:t>
      </w:r>
    </w:p>
    <w:p>
      <w:pPr>
        <w:pStyle w:val="ListBullet"/>
        <w:spacing w:before="0" w:after="60" w:line="259" w:lineRule="auto"/>
      </w:pPr>
      <w:r>
        <w:rPr>
          <w:rFonts w:ascii="Arial" w:hAnsi="Arial"/>
          <w:sz w:val="20"/>
        </w:rPr>
        <w:t>Customer, booking and Zendesk API contracts and field mappings.</w:t>
      </w:r>
    </w:p>
    <w:p>
      <w:pPr>
        <w:pStyle w:val="ListBullet"/>
        <w:spacing w:before="0" w:after="60" w:line="259" w:lineRule="auto"/>
      </w:pPr>
      <w:r>
        <w:rPr>
          <w:rFonts w:ascii="Arial" w:hAnsi="Arial"/>
          <w:sz w:val="20"/>
        </w:rPr>
        <w:t>WhatsApp/SMS sender, templates, consent and fallback policy.</w:t>
      </w:r>
    </w:p>
    <w:p>
      <w:pPr>
        <w:pStyle w:val="ListBullet"/>
        <w:spacing w:before="0" w:after="60" w:line="259" w:lineRule="auto"/>
      </w:pPr>
      <w:r>
        <w:rPr>
          <w:rFonts w:ascii="Arial" w:hAnsi="Arial"/>
          <w:sz w:val="20"/>
        </w:rPr>
        <w:t>Portuguese and English native-speaker sign-off and approved production voices.</w:t>
      </w:r>
    </w:p>
    <w:p>
      <w:pPr>
        <w:pStyle w:val="ListBullet"/>
        <w:spacing w:before="0" w:after="60" w:line="259" w:lineRule="auto"/>
      </w:pPr>
      <w:r>
        <w:rPr>
          <w:rFonts w:ascii="Arial" w:hAnsi="Arial"/>
          <w:sz w:val="20"/>
        </w:rPr>
        <w:t>Privacy, retention, recording, disclosure and custom-voice decisions.</w:t>
      </w:r>
    </w:p>
    <w:p>
      <w:pPr>
        <w:pStyle w:val="Heading1"/>
        <w:keepNext/>
        <w:pageBreakBefore w:val="0"/>
      </w:pPr>
      <w:r>
        <w:rPr>
          <w:rFonts w:ascii="Arial" w:hAnsi="Arial"/>
        </w:rPr>
        <w:t>17  Open decisions and stakeholder sign-off</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2520"/>
        <w:gridCol w:w="7416"/>
      </w:tblGrid>
      <w:tr>
        <w:trPr>
          <w:tblHeader w:val="true"/>
        </w:trPr>
        <w:tc>
          <w:tcPr>
            <w:tcW w:type="dxa" w:w="2520"/>
            <w:shd w:fill="12304A"/>
            <w:tcMar>
              <w:top w:w="100" w:type="dxa"/>
              <w:start w:w="100" w:type="dxa"/>
              <w:bottom w:w="100" w:type="dxa"/>
              <w:end w:w="100" w:type="dxa"/>
            </w:tcMar>
            <w:vAlign w:val="center"/>
          </w:tcPr>
          <w:p>
            <w:pPr>
              <w:spacing w:after="0"/>
              <w:jc w:val="center"/>
            </w:pPr>
            <w:r>
              <w:rPr>
                <w:rFonts w:ascii="Arial" w:hAnsi="Arial"/>
                <w:b/>
                <w:color w:val="FFFFFF"/>
                <w:sz w:val="18"/>
              </w:rPr>
              <w:t>Decision</w:t>
            </w:r>
          </w:p>
        </w:tc>
        <w:tc>
          <w:tcPr>
            <w:tcW w:type="dxa" w:w="7416"/>
            <w:shd w:fill="12304A"/>
            <w:tcMar>
              <w:top w:w="100" w:type="dxa"/>
              <w:start w:w="100" w:type="dxa"/>
              <w:bottom w:w="100" w:type="dxa"/>
              <w:end w:w="100" w:type="dxa"/>
            </w:tcMar>
            <w:vAlign w:val="center"/>
          </w:tcPr>
          <w:p>
            <w:pPr>
              <w:spacing w:after="0"/>
              <w:jc w:val="center"/>
            </w:pPr>
            <w:r>
              <w:rPr>
                <w:rFonts w:ascii="Arial" w:hAnsi="Arial"/>
                <w:b/>
                <w:color w:val="FFFFFF"/>
                <w:sz w:val="18"/>
              </w:rPr>
              <w:t>Stakeholder question</w:t>
            </w:r>
          </w:p>
        </w:tc>
      </w:tr>
      <w:tr>
        <w:tc>
          <w:tcPr>
            <w:tcW w:type="dxa" w:w="2520"/>
            <w:tcMar>
              <w:top w:w="90" w:type="dxa"/>
              <w:start w:w="100" w:type="dxa"/>
              <w:bottom w:w="90" w:type="dxa"/>
              <w:end w:w="100" w:type="dxa"/>
            </w:tcMar>
            <w:vAlign w:val="center"/>
          </w:tcPr>
          <w:p>
            <w:pPr>
              <w:spacing w:after="0" w:line="247" w:lineRule="auto"/>
            </w:pPr>
            <w:r>
              <w:rPr>
                <w:rFonts w:ascii="Arial" w:hAnsi="Arial"/>
                <w:b/>
                <w:color w:val="1F2937"/>
                <w:sz w:val="17"/>
              </w:rPr>
              <w:t>Telephone routing</w:t>
            </w:r>
          </w:p>
        </w:tc>
        <w:tc>
          <w:tcPr>
            <w:tcW w:type="dxa" w:w="7416"/>
            <w:tcMar>
              <w:top w:w="90" w:type="dxa"/>
              <w:start w:w="100" w:type="dxa"/>
              <w:bottom w:w="90" w:type="dxa"/>
              <w:end w:w="100" w:type="dxa"/>
            </w:tcMar>
            <w:vAlign w:val="center"/>
          </w:tcPr>
          <w:p>
            <w:pPr>
              <w:spacing w:after="0" w:line="247" w:lineRule="auto"/>
            </w:pPr>
            <w:r>
              <w:rPr>
                <w:rFonts w:ascii="Arial" w:hAnsi="Arial"/>
                <w:b w:val="0"/>
                <w:color w:val="1F2937"/>
                <w:sz w:val="17"/>
              </w:rPr>
              <w:t>Forward Vodafone/One Net to a supported Twilio number, use SIP, or another approved ElevenLabs route?</w:t>
            </w:r>
          </w:p>
        </w:tc>
      </w:tr>
      <w:tr>
        <w:tc>
          <w:tcPr>
            <w:tcW w:type="dxa" w:w="2520"/>
            <w:tcMar>
              <w:top w:w="90" w:type="dxa"/>
              <w:start w:w="100" w:type="dxa"/>
              <w:bottom w:w="90" w:type="dxa"/>
              <w:end w:w="100" w:type="dxa"/>
            </w:tcMar>
            <w:vAlign w:val="center"/>
            <w:shd w:fill="FAFBFC"/>
          </w:tcPr>
          <w:p>
            <w:pPr>
              <w:spacing w:after="0" w:line="247" w:lineRule="auto"/>
            </w:pPr>
            <w:r>
              <w:rPr>
                <w:rFonts w:ascii="Arial" w:hAnsi="Arial"/>
                <w:b/>
                <w:color w:val="1F2937"/>
                <w:sz w:val="17"/>
              </w:rPr>
              <w:t>Provider plan and region</w:t>
            </w:r>
          </w:p>
        </w:tc>
        <w:tc>
          <w:tcPr>
            <w:tcW w:type="dxa" w:w="7416"/>
            <w:tcMar>
              <w:top w:w="90" w:type="dxa"/>
              <w:start w:w="100" w:type="dxa"/>
              <w:bottom w:w="90" w:type="dxa"/>
              <w:end w:w="100" w:type="dxa"/>
            </w:tcMar>
            <w:vAlign w:val="center"/>
            <w:shd w:fill="FAFBFC"/>
          </w:tcPr>
          <w:p>
            <w:pPr>
              <w:spacing w:after="0" w:line="247" w:lineRule="auto"/>
            </w:pPr>
            <w:r>
              <w:rPr>
                <w:rFonts w:ascii="Arial" w:hAnsi="Arial"/>
                <w:b w:val="0"/>
                <w:color w:val="1F2937"/>
                <w:sz w:val="17"/>
              </w:rPr>
              <w:t>Which ElevenLabs plan, workspace type, region/data residency and retention mode will be contracted?</w:t>
            </w:r>
          </w:p>
        </w:tc>
      </w:tr>
      <w:tr>
        <w:tc>
          <w:tcPr>
            <w:tcW w:type="dxa" w:w="2520"/>
            <w:tcMar>
              <w:top w:w="90" w:type="dxa"/>
              <w:start w:w="100" w:type="dxa"/>
              <w:bottom w:w="90" w:type="dxa"/>
              <w:end w:w="100" w:type="dxa"/>
            </w:tcMar>
            <w:vAlign w:val="center"/>
          </w:tcPr>
          <w:p>
            <w:pPr>
              <w:spacing w:after="0" w:line="247" w:lineRule="auto"/>
            </w:pPr>
            <w:r>
              <w:rPr>
                <w:rFonts w:ascii="Arial" w:hAnsi="Arial"/>
                <w:b/>
                <w:color w:val="1F2937"/>
                <w:sz w:val="17"/>
              </w:rPr>
              <w:t>Audio retention</w:t>
            </w:r>
          </w:p>
        </w:tc>
        <w:tc>
          <w:tcPr>
            <w:tcW w:type="dxa" w:w="7416"/>
            <w:tcMar>
              <w:top w:w="90" w:type="dxa"/>
              <w:start w:w="100" w:type="dxa"/>
              <w:bottom w:w="90" w:type="dxa"/>
              <w:end w:w="100" w:type="dxa"/>
            </w:tcMar>
            <w:vAlign w:val="center"/>
          </w:tcPr>
          <w:p>
            <w:pPr>
              <w:spacing w:after="0" w:line="247" w:lineRule="auto"/>
            </w:pPr>
            <w:r>
              <w:rPr>
                <w:rFonts w:ascii="Arial" w:hAnsi="Arial"/>
                <w:b w:val="0"/>
                <w:color w:val="1F2937"/>
                <w:sz w:val="17"/>
              </w:rPr>
              <w:t>Will Quantum Parks receive/store audio, or use transcript-only processing except selected QA cases?</w:t>
            </w:r>
          </w:p>
        </w:tc>
      </w:tr>
      <w:tr>
        <w:tc>
          <w:tcPr>
            <w:tcW w:type="dxa" w:w="2520"/>
            <w:tcMar>
              <w:top w:w="90" w:type="dxa"/>
              <w:start w:w="100" w:type="dxa"/>
              <w:bottom w:w="90" w:type="dxa"/>
              <w:end w:w="100" w:type="dxa"/>
            </w:tcMar>
            <w:vAlign w:val="center"/>
            <w:shd w:fill="FAFBFC"/>
          </w:tcPr>
          <w:p>
            <w:pPr>
              <w:spacing w:after="0" w:line="247" w:lineRule="auto"/>
            </w:pPr>
            <w:r>
              <w:rPr>
                <w:rFonts w:ascii="Arial" w:hAnsi="Arial"/>
                <w:b/>
                <w:color w:val="1F2937"/>
                <w:sz w:val="17"/>
              </w:rPr>
              <w:t>Canonical transcript policy</w:t>
            </w:r>
          </w:p>
        </w:tc>
        <w:tc>
          <w:tcPr>
            <w:tcW w:type="dxa" w:w="7416"/>
            <w:tcMar>
              <w:top w:w="90" w:type="dxa"/>
              <w:start w:w="100" w:type="dxa"/>
              <w:bottom w:w="90" w:type="dxa"/>
              <w:end w:w="100" w:type="dxa"/>
            </w:tcMar>
            <w:vAlign w:val="center"/>
            <w:shd w:fill="FAFBFC"/>
          </w:tcPr>
          <w:p>
            <w:pPr>
              <w:spacing w:after="0" w:line="247" w:lineRule="auto"/>
            </w:pPr>
            <w:r>
              <w:rPr>
                <w:rFonts w:ascii="Arial" w:hAnsi="Arial"/>
                <w:b w:val="0"/>
                <w:color w:val="1F2937"/>
                <w:sz w:val="17"/>
              </w:rPr>
              <w:t>Will the ElevenLabs transcript always be canonicalized, with independent retranscription only for QA/disputes?</w:t>
            </w:r>
          </w:p>
        </w:tc>
      </w:tr>
      <w:tr>
        <w:tc>
          <w:tcPr>
            <w:tcW w:type="dxa" w:w="2520"/>
            <w:tcMar>
              <w:top w:w="90" w:type="dxa"/>
              <w:start w:w="100" w:type="dxa"/>
              <w:bottom w:w="90" w:type="dxa"/>
              <w:end w:w="100" w:type="dxa"/>
            </w:tcMar>
            <w:vAlign w:val="center"/>
          </w:tcPr>
          <w:p>
            <w:pPr>
              <w:spacing w:after="0" w:line="247" w:lineRule="auto"/>
            </w:pPr>
            <w:r>
              <w:rPr>
                <w:rFonts w:ascii="Arial" w:hAnsi="Arial"/>
                <w:b/>
                <w:color w:val="1F2937"/>
                <w:sz w:val="17"/>
              </w:rPr>
              <w:t>Human transfer topology</w:t>
            </w:r>
          </w:p>
        </w:tc>
        <w:tc>
          <w:tcPr>
            <w:tcW w:type="dxa" w:w="7416"/>
            <w:tcMar>
              <w:top w:w="90" w:type="dxa"/>
              <w:start w:w="100" w:type="dxa"/>
              <w:bottom w:w="90" w:type="dxa"/>
              <w:end w:w="100" w:type="dxa"/>
            </w:tcMar>
            <w:vAlign w:val="center"/>
          </w:tcPr>
          <w:p>
            <w:pPr>
              <w:spacing w:after="0" w:line="247" w:lineRule="auto"/>
            </w:pPr>
            <w:r>
              <w:rPr>
                <w:rFonts w:ascii="Arial" w:hAnsi="Arial"/>
                <w:b w:val="0"/>
                <w:color w:val="1F2937"/>
                <w:sz w:val="17"/>
              </w:rPr>
              <w:t>Which queues, hours, languages and callback SLAs apply?</w:t>
            </w:r>
          </w:p>
        </w:tc>
      </w:tr>
      <w:tr>
        <w:tc>
          <w:tcPr>
            <w:tcW w:type="dxa" w:w="2520"/>
            <w:tcMar>
              <w:top w:w="90" w:type="dxa"/>
              <w:start w:w="100" w:type="dxa"/>
              <w:bottom w:w="90" w:type="dxa"/>
              <w:end w:w="100" w:type="dxa"/>
            </w:tcMar>
            <w:vAlign w:val="center"/>
            <w:shd w:fill="FAFBFC"/>
          </w:tcPr>
          <w:p>
            <w:pPr>
              <w:spacing w:after="0" w:line="247" w:lineRule="auto"/>
            </w:pPr>
            <w:r>
              <w:rPr>
                <w:rFonts w:ascii="Arial" w:hAnsi="Arial"/>
                <w:b/>
                <w:color w:val="1F2937"/>
                <w:sz w:val="17"/>
              </w:rPr>
              <w:t>Customer verification</w:t>
            </w:r>
          </w:p>
        </w:tc>
        <w:tc>
          <w:tcPr>
            <w:tcW w:type="dxa" w:w="7416"/>
            <w:tcMar>
              <w:top w:w="90" w:type="dxa"/>
              <w:start w:w="100" w:type="dxa"/>
              <w:bottom w:w="90" w:type="dxa"/>
              <w:end w:w="100" w:type="dxa"/>
            </w:tcMar>
            <w:vAlign w:val="center"/>
            <w:shd w:fill="FAFBFC"/>
          </w:tcPr>
          <w:p>
            <w:pPr>
              <w:spacing w:after="0" w:line="247" w:lineRule="auto"/>
            </w:pPr>
            <w:r>
              <w:rPr>
                <w:rFonts w:ascii="Arial" w:hAnsi="Arial"/>
                <w:b w:val="0"/>
                <w:color w:val="1F2937"/>
                <w:sz w:val="17"/>
              </w:rPr>
              <w:t>What verification is required before disclosing booking or support context?</w:t>
            </w:r>
          </w:p>
        </w:tc>
      </w:tr>
      <w:tr>
        <w:tc>
          <w:tcPr>
            <w:tcW w:type="dxa" w:w="2520"/>
            <w:tcMar>
              <w:top w:w="90" w:type="dxa"/>
              <w:start w:w="100" w:type="dxa"/>
              <w:bottom w:w="90" w:type="dxa"/>
              <w:end w:w="100" w:type="dxa"/>
            </w:tcMar>
            <w:vAlign w:val="center"/>
          </w:tcPr>
          <w:p>
            <w:pPr>
              <w:spacing w:after="0" w:line="247" w:lineRule="auto"/>
            </w:pPr>
            <w:r>
              <w:rPr>
                <w:rFonts w:ascii="Arial" w:hAnsi="Arial"/>
                <w:b/>
                <w:color w:val="1F2937"/>
                <w:sz w:val="17"/>
              </w:rPr>
              <w:t>Knowledge approval</w:t>
            </w:r>
          </w:p>
        </w:tc>
        <w:tc>
          <w:tcPr>
            <w:tcW w:type="dxa" w:w="7416"/>
            <w:tcMar>
              <w:top w:w="90" w:type="dxa"/>
              <w:start w:w="100" w:type="dxa"/>
              <w:bottom w:w="90" w:type="dxa"/>
              <w:end w:w="100" w:type="dxa"/>
            </w:tcMar>
            <w:vAlign w:val="center"/>
          </w:tcPr>
          <w:p>
            <w:pPr>
              <w:spacing w:after="0" w:line="247" w:lineRule="auto"/>
            </w:pPr>
            <w:r>
              <w:rPr>
                <w:rFonts w:ascii="Arial" w:hAnsi="Arial"/>
                <w:b w:val="0"/>
                <w:color w:val="1F2937"/>
                <w:sz w:val="17"/>
              </w:rPr>
              <w:t>Which categories require two-person approval and who owns each category?</w:t>
            </w:r>
          </w:p>
        </w:tc>
      </w:tr>
      <w:tr>
        <w:tc>
          <w:tcPr>
            <w:tcW w:type="dxa" w:w="2520"/>
            <w:tcMar>
              <w:top w:w="90" w:type="dxa"/>
              <w:start w:w="100" w:type="dxa"/>
              <w:bottom w:w="90" w:type="dxa"/>
              <w:end w:w="100" w:type="dxa"/>
            </w:tcMar>
            <w:vAlign w:val="center"/>
            <w:shd w:fill="FAFBFC"/>
          </w:tcPr>
          <w:p>
            <w:pPr>
              <w:spacing w:after="0" w:line="247" w:lineRule="auto"/>
            </w:pPr>
            <w:r>
              <w:rPr>
                <w:rFonts w:ascii="Arial" w:hAnsi="Arial"/>
                <w:b/>
                <w:color w:val="1F2937"/>
                <w:sz w:val="17"/>
              </w:rPr>
              <w:t>Custom voices</w:t>
            </w:r>
          </w:p>
        </w:tc>
        <w:tc>
          <w:tcPr>
            <w:tcW w:type="dxa" w:w="7416"/>
            <w:tcMar>
              <w:top w:w="90" w:type="dxa"/>
              <w:start w:w="100" w:type="dxa"/>
              <w:bottom w:w="90" w:type="dxa"/>
              <w:end w:w="100" w:type="dxa"/>
            </w:tcMar>
            <w:vAlign w:val="center"/>
            <w:shd w:fill="FAFBFC"/>
          </w:tcPr>
          <w:p>
            <w:pPr>
              <w:spacing w:after="0" w:line="247" w:lineRule="auto"/>
            </w:pPr>
            <w:r>
              <w:rPr>
                <w:rFonts w:ascii="Arial" w:hAnsi="Arial"/>
                <w:b w:val="0"/>
                <w:color w:val="1F2937"/>
                <w:sz w:val="17"/>
              </w:rPr>
              <w:t>Are custom voices required at launch, and what consent/approval process applies?</w:t>
            </w:r>
          </w:p>
        </w:tc>
      </w:tr>
      <w:tr>
        <w:tc>
          <w:tcPr>
            <w:tcW w:type="dxa" w:w="2520"/>
            <w:tcMar>
              <w:top w:w="90" w:type="dxa"/>
              <w:start w:w="100" w:type="dxa"/>
              <w:bottom w:w="90" w:type="dxa"/>
              <w:end w:w="100" w:type="dxa"/>
            </w:tcMar>
            <w:vAlign w:val="center"/>
          </w:tcPr>
          <w:p>
            <w:pPr>
              <w:spacing w:after="0" w:line="247" w:lineRule="auto"/>
            </w:pPr>
            <w:r>
              <w:rPr>
                <w:rFonts w:ascii="Arial" w:hAnsi="Arial"/>
                <w:b/>
                <w:color w:val="1F2937"/>
                <w:sz w:val="17"/>
              </w:rPr>
              <w:t>Launch languages</w:t>
            </w:r>
          </w:p>
        </w:tc>
        <w:tc>
          <w:tcPr>
            <w:tcW w:type="dxa" w:w="7416"/>
            <w:tcMar>
              <w:top w:w="90" w:type="dxa"/>
              <w:start w:w="100" w:type="dxa"/>
              <w:bottom w:w="90" w:type="dxa"/>
              <w:end w:w="100" w:type="dxa"/>
            </w:tcMar>
            <w:vAlign w:val="center"/>
          </w:tcPr>
          <w:p>
            <w:pPr>
              <w:spacing w:after="0" w:line="247" w:lineRule="auto"/>
            </w:pPr>
            <w:r>
              <w:rPr>
                <w:rFonts w:ascii="Arial" w:hAnsi="Arial"/>
                <w:b w:val="0"/>
                <w:color w:val="1F2937"/>
                <w:sz w:val="17"/>
              </w:rPr>
              <w:t>Portuguese and English only, or additional languages after QA?</w:t>
            </w:r>
          </w:p>
        </w:tc>
      </w:tr>
      <w:tr>
        <w:tc>
          <w:tcPr>
            <w:tcW w:type="dxa" w:w="2520"/>
            <w:tcMar>
              <w:top w:w="90" w:type="dxa"/>
              <w:start w:w="100" w:type="dxa"/>
              <w:bottom w:w="90" w:type="dxa"/>
              <w:end w:w="100" w:type="dxa"/>
            </w:tcMar>
            <w:vAlign w:val="center"/>
            <w:shd w:fill="FAFBFC"/>
          </w:tcPr>
          <w:p>
            <w:pPr>
              <w:spacing w:after="0" w:line="247" w:lineRule="auto"/>
            </w:pPr>
            <w:r>
              <w:rPr>
                <w:rFonts w:ascii="Arial" w:hAnsi="Arial"/>
                <w:b/>
                <w:color w:val="1F2937"/>
                <w:sz w:val="17"/>
              </w:rPr>
              <w:t>Messaging</w:t>
            </w:r>
          </w:p>
        </w:tc>
        <w:tc>
          <w:tcPr>
            <w:tcW w:type="dxa" w:w="7416"/>
            <w:tcMar>
              <w:top w:w="90" w:type="dxa"/>
              <w:start w:w="100" w:type="dxa"/>
              <w:bottom w:w="90" w:type="dxa"/>
              <w:end w:w="100" w:type="dxa"/>
            </w:tcMar>
            <w:vAlign w:val="center"/>
            <w:shd w:fill="FAFBFC"/>
          </w:tcPr>
          <w:p>
            <w:pPr>
              <w:spacing w:after="0" w:line="247" w:lineRule="auto"/>
            </w:pPr>
            <w:r>
              <w:rPr>
                <w:rFonts w:ascii="Arial" w:hAnsi="Arial"/>
                <w:b w:val="0"/>
                <w:color w:val="1F2937"/>
                <w:sz w:val="17"/>
              </w:rPr>
              <w:t>Which WhatsApp/SMS provider, sender identities, templates and consent rules apply?</w:t>
            </w:r>
          </w:p>
        </w:tc>
      </w:tr>
      <w:tr>
        <w:tc>
          <w:tcPr>
            <w:tcW w:type="dxa" w:w="2520"/>
            <w:tcMar>
              <w:top w:w="90" w:type="dxa"/>
              <w:start w:w="100" w:type="dxa"/>
              <w:bottom w:w="90" w:type="dxa"/>
              <w:end w:w="100" w:type="dxa"/>
            </w:tcMar>
            <w:vAlign w:val="center"/>
          </w:tcPr>
          <w:p>
            <w:pPr>
              <w:spacing w:after="0" w:line="247" w:lineRule="auto"/>
            </w:pPr>
            <w:r>
              <w:rPr>
                <w:rFonts w:ascii="Arial" w:hAnsi="Arial"/>
                <w:b/>
                <w:color w:val="1F2937"/>
                <w:sz w:val="17"/>
              </w:rPr>
              <w:t>Retention</w:t>
            </w:r>
          </w:p>
        </w:tc>
        <w:tc>
          <w:tcPr>
            <w:tcW w:type="dxa" w:w="7416"/>
            <w:tcMar>
              <w:top w:w="90" w:type="dxa"/>
              <w:start w:w="100" w:type="dxa"/>
              <w:bottom w:w="90" w:type="dxa"/>
              <w:end w:w="100" w:type="dxa"/>
            </w:tcMar>
            <w:vAlign w:val="center"/>
          </w:tcPr>
          <w:p>
            <w:pPr>
              <w:spacing w:after="0" w:line="247" w:lineRule="auto"/>
            </w:pPr>
            <w:r>
              <w:rPr>
                <w:rFonts w:ascii="Arial" w:hAnsi="Arial"/>
                <w:b w:val="0"/>
                <w:color w:val="1F2937"/>
                <w:sz w:val="17"/>
              </w:rPr>
              <w:t>How long are raw webhooks, transcripts, summaries, audio, messages, reports and audit records retained?</w:t>
            </w:r>
          </w:p>
        </w:tc>
      </w:tr>
      <w:tr>
        <w:tc>
          <w:tcPr>
            <w:tcW w:type="dxa" w:w="2520"/>
            <w:tcMar>
              <w:top w:w="90" w:type="dxa"/>
              <w:start w:w="100" w:type="dxa"/>
              <w:bottom w:w="90" w:type="dxa"/>
              <w:end w:w="100" w:type="dxa"/>
            </w:tcMar>
            <w:vAlign w:val="center"/>
            <w:shd w:fill="FAFBFC"/>
          </w:tcPr>
          <w:p>
            <w:pPr>
              <w:spacing w:after="0" w:line="247" w:lineRule="auto"/>
            </w:pPr>
            <w:r>
              <w:rPr>
                <w:rFonts w:ascii="Arial" w:hAnsi="Arial"/>
                <w:b/>
                <w:color w:val="1F2937"/>
                <w:sz w:val="17"/>
              </w:rPr>
              <w:t>Vendor-console exceptions</w:t>
            </w:r>
          </w:p>
        </w:tc>
        <w:tc>
          <w:tcPr>
            <w:tcW w:type="dxa" w:w="7416"/>
            <w:tcMar>
              <w:top w:w="90" w:type="dxa"/>
              <w:start w:w="100" w:type="dxa"/>
              <w:bottom w:w="90" w:type="dxa"/>
              <w:end w:w="100" w:type="dxa"/>
            </w:tcMar>
            <w:vAlign w:val="center"/>
            <w:shd w:fill="FAFBFC"/>
          </w:tcPr>
          <w:p>
            <w:pPr>
              <w:spacing w:after="0" w:line="247" w:lineRule="auto"/>
            </w:pPr>
            <w:r>
              <w:rPr>
                <w:rFonts w:ascii="Arial" w:hAnsi="Arial"/>
                <w:b w:val="0"/>
                <w:color w:val="1F2937"/>
                <w:sz w:val="17"/>
              </w:rPr>
              <w:t>Which account/billing/security actions remain unavailable through the API and who may perform them?</w:t>
            </w:r>
          </w:p>
        </w:tc>
      </w:tr>
    </w:tbl>
    <w:p>
      <w:pPr>
        <w:spacing w:after="40"/>
      </w:pPr>
    </w:p>
    <w:p>
      <w:pPr>
        <w:pStyle w:val="Heading2"/>
        <w:keepNext/>
      </w:pPr>
      <w:r>
        <w:rPr>
          <w:rFonts w:ascii="Arial" w:hAnsi="Arial"/>
        </w:rPr>
        <w:t>17.1 Approval record</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2520"/>
        <w:gridCol w:w="2880"/>
        <w:gridCol w:w="3096"/>
        <w:gridCol w:w="1440"/>
      </w:tblGrid>
      <w:tr>
        <w:trPr>
          <w:tblHeader w:val="true"/>
        </w:trPr>
        <w:tc>
          <w:tcPr>
            <w:tcW w:type="dxa" w:w="2520"/>
            <w:shd w:fill="12304A"/>
            <w:tcMar>
              <w:top w:w="100" w:type="dxa"/>
              <w:start w:w="100" w:type="dxa"/>
              <w:bottom w:w="100" w:type="dxa"/>
              <w:end w:w="100" w:type="dxa"/>
            </w:tcMar>
            <w:vAlign w:val="center"/>
          </w:tcPr>
          <w:p>
            <w:pPr>
              <w:spacing w:after="0"/>
              <w:jc w:val="center"/>
            </w:pPr>
            <w:r>
              <w:rPr>
                <w:rFonts w:ascii="Arial" w:hAnsi="Arial"/>
                <w:b/>
                <w:color w:val="FFFFFF"/>
                <w:sz w:val="18"/>
              </w:rPr>
              <w:t>Stakeholder area</w:t>
            </w:r>
          </w:p>
        </w:tc>
        <w:tc>
          <w:tcPr>
            <w:tcW w:type="dxa" w:w="2880"/>
            <w:shd w:fill="12304A"/>
            <w:tcMar>
              <w:top w:w="100" w:type="dxa"/>
              <w:start w:w="100" w:type="dxa"/>
              <w:bottom w:w="100" w:type="dxa"/>
              <w:end w:w="100" w:type="dxa"/>
            </w:tcMar>
            <w:vAlign w:val="center"/>
          </w:tcPr>
          <w:p>
            <w:pPr>
              <w:spacing w:after="0"/>
              <w:jc w:val="center"/>
            </w:pPr>
            <w:r>
              <w:rPr>
                <w:rFonts w:ascii="Arial" w:hAnsi="Arial"/>
                <w:b/>
                <w:color w:val="FFFFFF"/>
                <w:sz w:val="18"/>
              </w:rPr>
              <w:t>Name / role</w:t>
            </w:r>
          </w:p>
        </w:tc>
        <w:tc>
          <w:tcPr>
            <w:tcW w:type="dxa" w:w="3096"/>
            <w:shd w:fill="12304A"/>
            <w:tcMar>
              <w:top w:w="100" w:type="dxa"/>
              <w:start w:w="100" w:type="dxa"/>
              <w:bottom w:w="100" w:type="dxa"/>
              <w:end w:w="100" w:type="dxa"/>
            </w:tcMar>
            <w:vAlign w:val="center"/>
          </w:tcPr>
          <w:p>
            <w:pPr>
              <w:spacing w:after="0"/>
              <w:jc w:val="center"/>
            </w:pPr>
            <w:r>
              <w:rPr>
                <w:rFonts w:ascii="Arial" w:hAnsi="Arial"/>
                <w:b/>
                <w:color w:val="FFFFFF"/>
                <w:sz w:val="18"/>
              </w:rPr>
              <w:t>Decision</w:t>
            </w:r>
          </w:p>
        </w:tc>
        <w:tc>
          <w:tcPr>
            <w:tcW w:type="dxa" w:w="1440"/>
            <w:shd w:fill="12304A"/>
            <w:tcMar>
              <w:top w:w="100" w:type="dxa"/>
              <w:start w:w="100" w:type="dxa"/>
              <w:bottom w:w="100" w:type="dxa"/>
              <w:end w:w="100" w:type="dxa"/>
            </w:tcMar>
            <w:vAlign w:val="center"/>
          </w:tcPr>
          <w:p>
            <w:pPr>
              <w:spacing w:after="0"/>
              <w:jc w:val="center"/>
            </w:pPr>
            <w:r>
              <w:rPr>
                <w:rFonts w:ascii="Arial" w:hAnsi="Arial"/>
                <w:b/>
                <w:color w:val="FFFFFF"/>
                <w:sz w:val="18"/>
              </w:rPr>
              <w:t>Date</w:t>
            </w:r>
          </w:p>
        </w:tc>
      </w:tr>
      <w:tr>
        <w:tc>
          <w:tcPr>
            <w:tcW w:type="dxa" w:w="2520"/>
            <w:tcMar>
              <w:top w:w="90" w:type="dxa"/>
              <w:start w:w="100" w:type="dxa"/>
              <w:bottom w:w="90" w:type="dxa"/>
              <w:end w:w="100" w:type="dxa"/>
            </w:tcMar>
            <w:vAlign w:val="center"/>
          </w:tcPr>
          <w:p>
            <w:pPr>
              <w:spacing w:after="0" w:line="247" w:lineRule="auto"/>
            </w:pPr>
            <w:r>
              <w:rPr>
                <w:rFonts w:ascii="Arial" w:hAnsi="Arial"/>
                <w:b w:val="0"/>
                <w:color w:val="1F2937"/>
                <w:sz w:val="18"/>
              </w:rPr>
              <w:t>Executive sponsor</w:t>
            </w:r>
          </w:p>
        </w:tc>
        <w:tc>
          <w:tcPr>
            <w:tcW w:type="dxa" w:w="2880"/>
            <w:tcMar>
              <w:top w:w="90" w:type="dxa"/>
              <w:start w:w="100" w:type="dxa"/>
              <w:bottom w:w="90" w:type="dxa"/>
              <w:end w:w="100" w:type="dxa"/>
            </w:tcMar>
            <w:vAlign w:val="center"/>
          </w:tcPr>
          <w:p>
            <w:pPr>
              <w:spacing w:after="0" w:line="247" w:lineRule="auto"/>
            </w:pPr>
            <w:r>
              <w:rPr>
                <w:rFonts w:ascii="Arial" w:hAnsi="Arial"/>
                <w:b w:val="0"/>
                <w:color w:val="1F2937"/>
                <w:sz w:val="18"/>
              </w:rPr>
            </w:r>
          </w:p>
        </w:tc>
        <w:tc>
          <w:tcPr>
            <w:tcW w:type="dxa" w:w="3096"/>
            <w:tcMar>
              <w:top w:w="90" w:type="dxa"/>
              <w:start w:w="100" w:type="dxa"/>
              <w:bottom w:w="90" w:type="dxa"/>
              <w:end w:w="100" w:type="dxa"/>
            </w:tcMar>
            <w:vAlign w:val="center"/>
          </w:tcPr>
          <w:p>
            <w:pPr>
              <w:spacing w:after="0" w:line="247" w:lineRule="auto"/>
            </w:pPr>
            <w:r>
              <w:rPr>
                <w:rFonts w:ascii="Arial" w:hAnsi="Arial"/>
                <w:b w:val="0"/>
                <w:color w:val="1F2937"/>
                <w:sz w:val="18"/>
              </w:rPr>
            </w:r>
          </w:p>
        </w:tc>
        <w:tc>
          <w:tcPr>
            <w:tcW w:type="dxa" w:w="1440"/>
            <w:tcMar>
              <w:top w:w="90" w:type="dxa"/>
              <w:start w:w="100" w:type="dxa"/>
              <w:bottom w:w="90" w:type="dxa"/>
              <w:end w:w="100" w:type="dxa"/>
            </w:tcMar>
            <w:vAlign w:val="center"/>
          </w:tcPr>
          <w:p>
            <w:pPr>
              <w:spacing w:after="0" w:line="247" w:lineRule="auto"/>
            </w:pPr>
            <w:r>
              <w:rPr>
                <w:rFonts w:ascii="Arial" w:hAnsi="Arial"/>
                <w:b w:val="0"/>
                <w:color w:val="1F2937"/>
                <w:sz w:val="18"/>
              </w:rPr>
            </w:r>
          </w:p>
        </w:tc>
      </w:tr>
      <w:tr>
        <w:tc>
          <w:tcPr>
            <w:tcW w:type="dxa" w:w="2520"/>
            <w:tcMar>
              <w:top w:w="90" w:type="dxa"/>
              <w:start w:w="100" w:type="dxa"/>
              <w:bottom w:w="90" w:type="dxa"/>
              <w:end w:w="100" w:type="dxa"/>
            </w:tcMar>
            <w:vAlign w:val="center"/>
            <w:shd w:fill="FAFBFC"/>
          </w:tcPr>
          <w:p>
            <w:pPr>
              <w:spacing w:after="0" w:line="247" w:lineRule="auto"/>
            </w:pPr>
            <w:r>
              <w:rPr>
                <w:rFonts w:ascii="Arial" w:hAnsi="Arial"/>
                <w:b w:val="0"/>
                <w:color w:val="1F2937"/>
                <w:sz w:val="18"/>
              </w:rPr>
              <w:t>Operations</w:t>
            </w:r>
          </w:p>
        </w:tc>
        <w:tc>
          <w:tcPr>
            <w:tcW w:type="dxa" w:w="2880"/>
            <w:tcMar>
              <w:top w:w="90" w:type="dxa"/>
              <w:start w:w="100" w:type="dxa"/>
              <w:bottom w:w="90" w:type="dxa"/>
              <w:end w:w="100" w:type="dxa"/>
            </w:tcMar>
            <w:vAlign w:val="center"/>
            <w:shd w:fill="FAFBFC"/>
          </w:tcPr>
          <w:p>
            <w:pPr>
              <w:spacing w:after="0" w:line="247" w:lineRule="auto"/>
            </w:pPr>
            <w:r>
              <w:rPr>
                <w:rFonts w:ascii="Arial" w:hAnsi="Arial"/>
                <w:b w:val="0"/>
                <w:color w:val="1F2937"/>
                <w:sz w:val="18"/>
              </w:rPr>
            </w:r>
          </w:p>
        </w:tc>
        <w:tc>
          <w:tcPr>
            <w:tcW w:type="dxa" w:w="3096"/>
            <w:tcMar>
              <w:top w:w="90" w:type="dxa"/>
              <w:start w:w="100" w:type="dxa"/>
              <w:bottom w:w="90" w:type="dxa"/>
              <w:end w:w="100" w:type="dxa"/>
            </w:tcMar>
            <w:vAlign w:val="center"/>
            <w:shd w:fill="FAFBFC"/>
          </w:tcPr>
          <w:p>
            <w:pPr>
              <w:spacing w:after="0" w:line="247" w:lineRule="auto"/>
            </w:pPr>
            <w:r>
              <w:rPr>
                <w:rFonts w:ascii="Arial" w:hAnsi="Arial"/>
                <w:b w:val="0"/>
                <w:color w:val="1F2937"/>
                <w:sz w:val="18"/>
              </w:rPr>
            </w:r>
          </w:p>
        </w:tc>
        <w:tc>
          <w:tcPr>
            <w:tcW w:type="dxa" w:w="1440"/>
            <w:tcMar>
              <w:top w:w="90" w:type="dxa"/>
              <w:start w:w="100" w:type="dxa"/>
              <w:bottom w:w="90" w:type="dxa"/>
              <w:end w:w="100" w:type="dxa"/>
            </w:tcMar>
            <w:vAlign w:val="center"/>
            <w:shd w:fill="FAFBFC"/>
          </w:tcPr>
          <w:p>
            <w:pPr>
              <w:spacing w:after="0" w:line="247" w:lineRule="auto"/>
            </w:pPr>
            <w:r>
              <w:rPr>
                <w:rFonts w:ascii="Arial" w:hAnsi="Arial"/>
                <w:b w:val="0"/>
                <w:color w:val="1F2937"/>
                <w:sz w:val="18"/>
              </w:rPr>
            </w:r>
          </w:p>
        </w:tc>
      </w:tr>
      <w:tr>
        <w:tc>
          <w:tcPr>
            <w:tcW w:type="dxa" w:w="2520"/>
            <w:tcMar>
              <w:top w:w="90" w:type="dxa"/>
              <w:start w:w="100" w:type="dxa"/>
              <w:bottom w:w="90" w:type="dxa"/>
              <w:end w:w="100" w:type="dxa"/>
            </w:tcMar>
            <w:vAlign w:val="center"/>
          </w:tcPr>
          <w:p>
            <w:pPr>
              <w:spacing w:after="0" w:line="247" w:lineRule="auto"/>
            </w:pPr>
            <w:r>
              <w:rPr>
                <w:rFonts w:ascii="Arial" w:hAnsi="Arial"/>
                <w:b w:val="0"/>
                <w:color w:val="1F2937"/>
                <w:sz w:val="18"/>
              </w:rPr>
              <w:t>Customer service</w:t>
            </w:r>
          </w:p>
        </w:tc>
        <w:tc>
          <w:tcPr>
            <w:tcW w:type="dxa" w:w="2880"/>
            <w:tcMar>
              <w:top w:w="90" w:type="dxa"/>
              <w:start w:w="100" w:type="dxa"/>
              <w:bottom w:w="90" w:type="dxa"/>
              <w:end w:w="100" w:type="dxa"/>
            </w:tcMar>
            <w:vAlign w:val="center"/>
          </w:tcPr>
          <w:p>
            <w:pPr>
              <w:spacing w:after="0" w:line="247" w:lineRule="auto"/>
            </w:pPr>
            <w:r>
              <w:rPr>
                <w:rFonts w:ascii="Arial" w:hAnsi="Arial"/>
                <w:b w:val="0"/>
                <w:color w:val="1F2937"/>
                <w:sz w:val="18"/>
              </w:rPr>
            </w:r>
          </w:p>
        </w:tc>
        <w:tc>
          <w:tcPr>
            <w:tcW w:type="dxa" w:w="3096"/>
            <w:tcMar>
              <w:top w:w="90" w:type="dxa"/>
              <w:start w:w="100" w:type="dxa"/>
              <w:bottom w:w="90" w:type="dxa"/>
              <w:end w:w="100" w:type="dxa"/>
            </w:tcMar>
            <w:vAlign w:val="center"/>
          </w:tcPr>
          <w:p>
            <w:pPr>
              <w:spacing w:after="0" w:line="247" w:lineRule="auto"/>
            </w:pPr>
            <w:r>
              <w:rPr>
                <w:rFonts w:ascii="Arial" w:hAnsi="Arial"/>
                <w:b w:val="0"/>
                <w:color w:val="1F2937"/>
                <w:sz w:val="18"/>
              </w:rPr>
            </w:r>
          </w:p>
        </w:tc>
        <w:tc>
          <w:tcPr>
            <w:tcW w:type="dxa" w:w="1440"/>
            <w:tcMar>
              <w:top w:w="90" w:type="dxa"/>
              <w:start w:w="100" w:type="dxa"/>
              <w:bottom w:w="90" w:type="dxa"/>
              <w:end w:w="100" w:type="dxa"/>
            </w:tcMar>
            <w:vAlign w:val="center"/>
          </w:tcPr>
          <w:p>
            <w:pPr>
              <w:spacing w:after="0" w:line="247" w:lineRule="auto"/>
            </w:pPr>
            <w:r>
              <w:rPr>
                <w:rFonts w:ascii="Arial" w:hAnsi="Arial"/>
                <w:b w:val="0"/>
                <w:color w:val="1F2937"/>
                <w:sz w:val="18"/>
              </w:rPr>
            </w:r>
          </w:p>
        </w:tc>
      </w:tr>
      <w:tr>
        <w:tc>
          <w:tcPr>
            <w:tcW w:type="dxa" w:w="2520"/>
            <w:tcMar>
              <w:top w:w="90" w:type="dxa"/>
              <w:start w:w="100" w:type="dxa"/>
              <w:bottom w:w="90" w:type="dxa"/>
              <w:end w:w="100" w:type="dxa"/>
            </w:tcMar>
            <w:vAlign w:val="center"/>
            <w:shd w:fill="FAFBFC"/>
          </w:tcPr>
          <w:p>
            <w:pPr>
              <w:spacing w:after="0" w:line="247" w:lineRule="auto"/>
            </w:pPr>
            <w:r>
              <w:rPr>
                <w:rFonts w:ascii="Arial" w:hAnsi="Arial"/>
                <w:b w:val="0"/>
                <w:color w:val="1F2937"/>
                <w:sz w:val="18"/>
              </w:rPr>
              <w:t>IT / engineering</w:t>
            </w:r>
          </w:p>
        </w:tc>
        <w:tc>
          <w:tcPr>
            <w:tcW w:type="dxa" w:w="2880"/>
            <w:tcMar>
              <w:top w:w="90" w:type="dxa"/>
              <w:start w:w="100" w:type="dxa"/>
              <w:bottom w:w="90" w:type="dxa"/>
              <w:end w:w="100" w:type="dxa"/>
            </w:tcMar>
            <w:vAlign w:val="center"/>
            <w:shd w:fill="FAFBFC"/>
          </w:tcPr>
          <w:p>
            <w:pPr>
              <w:spacing w:after="0" w:line="247" w:lineRule="auto"/>
            </w:pPr>
            <w:r>
              <w:rPr>
                <w:rFonts w:ascii="Arial" w:hAnsi="Arial"/>
                <w:b w:val="0"/>
                <w:color w:val="1F2937"/>
                <w:sz w:val="18"/>
              </w:rPr>
            </w:r>
          </w:p>
        </w:tc>
        <w:tc>
          <w:tcPr>
            <w:tcW w:type="dxa" w:w="3096"/>
            <w:tcMar>
              <w:top w:w="90" w:type="dxa"/>
              <w:start w:w="100" w:type="dxa"/>
              <w:bottom w:w="90" w:type="dxa"/>
              <w:end w:w="100" w:type="dxa"/>
            </w:tcMar>
            <w:vAlign w:val="center"/>
            <w:shd w:fill="FAFBFC"/>
          </w:tcPr>
          <w:p>
            <w:pPr>
              <w:spacing w:after="0" w:line="247" w:lineRule="auto"/>
            </w:pPr>
            <w:r>
              <w:rPr>
                <w:rFonts w:ascii="Arial" w:hAnsi="Arial"/>
                <w:b w:val="0"/>
                <w:color w:val="1F2937"/>
                <w:sz w:val="18"/>
              </w:rPr>
            </w:r>
          </w:p>
        </w:tc>
        <w:tc>
          <w:tcPr>
            <w:tcW w:type="dxa" w:w="1440"/>
            <w:tcMar>
              <w:top w:w="90" w:type="dxa"/>
              <w:start w:w="100" w:type="dxa"/>
              <w:bottom w:w="90" w:type="dxa"/>
              <w:end w:w="100" w:type="dxa"/>
            </w:tcMar>
            <w:vAlign w:val="center"/>
            <w:shd w:fill="FAFBFC"/>
          </w:tcPr>
          <w:p>
            <w:pPr>
              <w:spacing w:after="0" w:line="247" w:lineRule="auto"/>
            </w:pPr>
            <w:r>
              <w:rPr>
                <w:rFonts w:ascii="Arial" w:hAnsi="Arial"/>
                <w:b w:val="0"/>
                <w:color w:val="1F2937"/>
                <w:sz w:val="18"/>
              </w:rPr>
            </w:r>
          </w:p>
        </w:tc>
      </w:tr>
      <w:tr>
        <w:tc>
          <w:tcPr>
            <w:tcW w:type="dxa" w:w="2520"/>
            <w:tcMar>
              <w:top w:w="90" w:type="dxa"/>
              <w:start w:w="100" w:type="dxa"/>
              <w:bottom w:w="90" w:type="dxa"/>
              <w:end w:w="100" w:type="dxa"/>
            </w:tcMar>
            <w:vAlign w:val="center"/>
          </w:tcPr>
          <w:p>
            <w:pPr>
              <w:spacing w:after="0" w:line="247" w:lineRule="auto"/>
            </w:pPr>
            <w:r>
              <w:rPr>
                <w:rFonts w:ascii="Arial" w:hAnsi="Arial"/>
                <w:b w:val="0"/>
                <w:color w:val="1F2937"/>
                <w:sz w:val="18"/>
              </w:rPr>
              <w:t>Privacy / legal</w:t>
            </w:r>
          </w:p>
        </w:tc>
        <w:tc>
          <w:tcPr>
            <w:tcW w:type="dxa" w:w="2880"/>
            <w:tcMar>
              <w:top w:w="90" w:type="dxa"/>
              <w:start w:w="100" w:type="dxa"/>
              <w:bottom w:w="90" w:type="dxa"/>
              <w:end w:w="100" w:type="dxa"/>
            </w:tcMar>
            <w:vAlign w:val="center"/>
          </w:tcPr>
          <w:p>
            <w:pPr>
              <w:spacing w:after="0" w:line="247" w:lineRule="auto"/>
            </w:pPr>
            <w:r>
              <w:rPr>
                <w:rFonts w:ascii="Arial" w:hAnsi="Arial"/>
                <w:b w:val="0"/>
                <w:color w:val="1F2937"/>
                <w:sz w:val="18"/>
              </w:rPr>
            </w:r>
          </w:p>
        </w:tc>
        <w:tc>
          <w:tcPr>
            <w:tcW w:type="dxa" w:w="3096"/>
            <w:tcMar>
              <w:top w:w="90" w:type="dxa"/>
              <w:start w:w="100" w:type="dxa"/>
              <w:bottom w:w="90" w:type="dxa"/>
              <w:end w:w="100" w:type="dxa"/>
            </w:tcMar>
            <w:vAlign w:val="center"/>
          </w:tcPr>
          <w:p>
            <w:pPr>
              <w:spacing w:after="0" w:line="247" w:lineRule="auto"/>
            </w:pPr>
            <w:r>
              <w:rPr>
                <w:rFonts w:ascii="Arial" w:hAnsi="Arial"/>
                <w:b w:val="0"/>
                <w:color w:val="1F2937"/>
                <w:sz w:val="18"/>
              </w:rPr>
            </w:r>
          </w:p>
        </w:tc>
        <w:tc>
          <w:tcPr>
            <w:tcW w:type="dxa" w:w="1440"/>
            <w:tcMar>
              <w:top w:w="90" w:type="dxa"/>
              <w:start w:w="100" w:type="dxa"/>
              <w:bottom w:w="90" w:type="dxa"/>
              <w:end w:w="100" w:type="dxa"/>
            </w:tcMar>
            <w:vAlign w:val="center"/>
          </w:tcPr>
          <w:p>
            <w:pPr>
              <w:spacing w:after="0" w:line="247" w:lineRule="auto"/>
            </w:pPr>
            <w:r>
              <w:rPr>
                <w:rFonts w:ascii="Arial" w:hAnsi="Arial"/>
                <w:b w:val="0"/>
                <w:color w:val="1F2937"/>
                <w:sz w:val="18"/>
              </w:rPr>
            </w:r>
          </w:p>
        </w:tc>
      </w:tr>
      <w:tr>
        <w:tc>
          <w:tcPr>
            <w:tcW w:type="dxa" w:w="2520"/>
            <w:tcMar>
              <w:top w:w="90" w:type="dxa"/>
              <w:start w:w="100" w:type="dxa"/>
              <w:bottom w:w="90" w:type="dxa"/>
              <w:end w:w="100" w:type="dxa"/>
            </w:tcMar>
            <w:vAlign w:val="center"/>
            <w:shd w:fill="FAFBFC"/>
          </w:tcPr>
          <w:p>
            <w:pPr>
              <w:spacing w:after="0" w:line="247" w:lineRule="auto"/>
            </w:pPr>
            <w:r>
              <w:rPr>
                <w:rFonts w:ascii="Arial" w:hAnsi="Arial"/>
                <w:b w:val="0"/>
                <w:color w:val="1F2937"/>
                <w:sz w:val="18"/>
              </w:rPr>
              <w:t>Finance / procurement</w:t>
            </w:r>
          </w:p>
        </w:tc>
        <w:tc>
          <w:tcPr>
            <w:tcW w:type="dxa" w:w="2880"/>
            <w:tcMar>
              <w:top w:w="90" w:type="dxa"/>
              <w:start w:w="100" w:type="dxa"/>
              <w:bottom w:w="90" w:type="dxa"/>
              <w:end w:w="100" w:type="dxa"/>
            </w:tcMar>
            <w:vAlign w:val="center"/>
            <w:shd w:fill="FAFBFC"/>
          </w:tcPr>
          <w:p>
            <w:pPr>
              <w:spacing w:after="0" w:line="247" w:lineRule="auto"/>
            </w:pPr>
            <w:r>
              <w:rPr>
                <w:rFonts w:ascii="Arial" w:hAnsi="Arial"/>
                <w:b w:val="0"/>
                <w:color w:val="1F2937"/>
                <w:sz w:val="18"/>
              </w:rPr>
            </w:r>
          </w:p>
        </w:tc>
        <w:tc>
          <w:tcPr>
            <w:tcW w:type="dxa" w:w="3096"/>
            <w:tcMar>
              <w:top w:w="90" w:type="dxa"/>
              <w:start w:w="100" w:type="dxa"/>
              <w:bottom w:w="90" w:type="dxa"/>
              <w:end w:w="100" w:type="dxa"/>
            </w:tcMar>
            <w:vAlign w:val="center"/>
            <w:shd w:fill="FAFBFC"/>
          </w:tcPr>
          <w:p>
            <w:pPr>
              <w:spacing w:after="0" w:line="247" w:lineRule="auto"/>
            </w:pPr>
            <w:r>
              <w:rPr>
                <w:rFonts w:ascii="Arial" w:hAnsi="Arial"/>
                <w:b w:val="0"/>
                <w:color w:val="1F2937"/>
                <w:sz w:val="18"/>
              </w:rPr>
            </w:r>
          </w:p>
        </w:tc>
        <w:tc>
          <w:tcPr>
            <w:tcW w:type="dxa" w:w="1440"/>
            <w:tcMar>
              <w:top w:w="90" w:type="dxa"/>
              <w:start w:w="100" w:type="dxa"/>
              <w:bottom w:w="90" w:type="dxa"/>
              <w:end w:w="100" w:type="dxa"/>
            </w:tcMar>
            <w:vAlign w:val="center"/>
            <w:shd w:fill="FAFBFC"/>
          </w:tcPr>
          <w:p>
            <w:pPr>
              <w:spacing w:after="0" w:line="247" w:lineRule="auto"/>
            </w:pPr>
            <w:r>
              <w:rPr>
                <w:rFonts w:ascii="Arial" w:hAnsi="Arial"/>
                <w:b w:val="0"/>
                <w:color w:val="1F2937"/>
                <w:sz w:val="18"/>
              </w:rPr>
            </w:r>
          </w:p>
        </w:tc>
      </w:tr>
    </w:tbl>
    <w:p>
      <w:pPr>
        <w:spacing w:after="40"/>
      </w:pPr>
    </w:p>
    <w:p>
      <w:pPr>
        <w:pStyle w:val="Heading1"/>
        <w:keepNext/>
        <w:pageBreakBefore w:val="0"/>
      </w:pPr>
      <w:r>
        <w:rPr>
          <w:rFonts w:ascii="Arial" w:hAnsi="Arial"/>
        </w:rPr>
        <w:t>A  Appendices and source references</w:t>
      </w:r>
    </w:p>
    <w:p>
      <w:pPr>
        <w:pStyle w:val="Heading2"/>
        <w:keepNext/>
      </w:pPr>
      <w:r>
        <w:rPr>
          <w:rFonts w:ascii="Arial" w:hAnsi="Arial"/>
        </w:rPr>
        <w:t>A.1 Glossary</w:t>
      </w:r>
    </w:p>
    <w:tbl>
      <w:tblPr>
        <w:tblW w:type="auto" w:w="0"/>
        <w:jc w:val="center"/>
        <w:tblLayout w:type="fixed"/>
        <w:tblLook w:firstColumn="1" w:firstRow="1" w:lastColumn="0" w:lastRow="0" w:noHBand="0" w:noVBand="1" w:val="04A0"/>
        <w:tblBorders>
          <w:top w:val="single" w:sz="6" w:space="0" w:color="C7D1DB"/>
          <w:left w:val="single" w:sz="6" w:space="0" w:color="C7D1DB"/>
          <w:bottom w:val="single" w:sz="6" w:space="0" w:color="C7D1DB"/>
          <w:right w:val="single" w:sz="6" w:space="0" w:color="C7D1DB"/>
          <w:insideH w:val="single" w:sz="6" w:space="0" w:color="C7D1DB"/>
          <w:insideV w:val="single" w:sz="6" w:space="0" w:color="C7D1DB"/>
        </w:tblBorders>
      </w:tblPr>
      <w:tblGrid>
        <w:gridCol w:w="2232"/>
        <w:gridCol w:w="7704"/>
      </w:tblGrid>
      <w:tr>
        <w:trPr>
          <w:tblHeader w:val="true"/>
        </w:trPr>
        <w:tc>
          <w:tcPr>
            <w:tcW w:type="dxa" w:w="2232"/>
            <w:shd w:fill="12304A"/>
            <w:tcMar>
              <w:top w:w="100" w:type="dxa"/>
              <w:start w:w="100" w:type="dxa"/>
              <w:bottom w:w="100" w:type="dxa"/>
              <w:end w:w="100" w:type="dxa"/>
            </w:tcMar>
            <w:vAlign w:val="center"/>
          </w:tcPr>
          <w:p>
            <w:pPr>
              <w:spacing w:after="0"/>
              <w:jc w:val="center"/>
            </w:pPr>
            <w:r>
              <w:rPr>
                <w:rFonts w:ascii="Arial" w:hAnsi="Arial"/>
                <w:b/>
                <w:color w:val="FFFFFF"/>
                <w:sz w:val="18"/>
              </w:rPr>
              <w:t>Term</w:t>
            </w:r>
          </w:p>
        </w:tc>
        <w:tc>
          <w:tcPr>
            <w:tcW w:type="dxa" w:w="7703"/>
            <w:shd w:fill="12304A"/>
            <w:tcMar>
              <w:top w:w="100" w:type="dxa"/>
              <w:start w:w="100" w:type="dxa"/>
              <w:bottom w:w="100" w:type="dxa"/>
              <w:end w:w="100" w:type="dxa"/>
            </w:tcMar>
            <w:vAlign w:val="center"/>
          </w:tcPr>
          <w:p>
            <w:pPr>
              <w:spacing w:after="0"/>
              <w:jc w:val="center"/>
            </w:pPr>
            <w:r>
              <w:rPr>
                <w:rFonts w:ascii="Arial" w:hAnsi="Arial"/>
                <w:b/>
                <w:color w:val="FFFFFF"/>
                <w:sz w:val="18"/>
              </w:rPr>
              <w:t>Meaning</w:t>
            </w:r>
          </w:p>
        </w:tc>
      </w:tr>
      <w:tr>
        <w:tc>
          <w:tcPr>
            <w:tcW w:type="dxa" w:w="2232"/>
            <w:tcMar>
              <w:top w:w="90" w:type="dxa"/>
              <w:start w:w="100" w:type="dxa"/>
              <w:bottom w:w="90" w:type="dxa"/>
              <w:end w:w="100" w:type="dxa"/>
            </w:tcMar>
            <w:vAlign w:val="center"/>
          </w:tcPr>
          <w:p>
            <w:pPr>
              <w:spacing w:after="0" w:line="247" w:lineRule="auto"/>
            </w:pPr>
            <w:r>
              <w:rPr>
                <w:rFonts w:ascii="Arial" w:hAnsi="Arial"/>
                <w:b/>
                <w:color w:val="1F2937"/>
                <w:sz w:val="17"/>
              </w:rPr>
              <w:t>Agent</w:t>
            </w:r>
          </w:p>
        </w:tc>
        <w:tc>
          <w:tcPr>
            <w:tcW w:type="dxa" w:w="7703"/>
            <w:tcMar>
              <w:top w:w="90" w:type="dxa"/>
              <w:start w:w="100" w:type="dxa"/>
              <w:bottom w:w="90" w:type="dxa"/>
              <w:end w:w="100" w:type="dxa"/>
            </w:tcMar>
            <w:vAlign w:val="center"/>
          </w:tcPr>
          <w:p>
            <w:pPr>
              <w:spacing w:after="0" w:line="247" w:lineRule="auto"/>
            </w:pPr>
            <w:r>
              <w:rPr>
                <w:rFonts w:ascii="Arial" w:hAnsi="Arial"/>
                <w:b w:val="0"/>
                <w:color w:val="1F2937"/>
                <w:sz w:val="17"/>
              </w:rPr>
              <w:t>The ElevenLabs conversational voice agent that conducts the live call.</w:t>
            </w:r>
          </w:p>
        </w:tc>
      </w:tr>
      <w:tr>
        <w:tc>
          <w:tcPr>
            <w:tcW w:type="dxa" w:w="2232"/>
            <w:tcMar>
              <w:top w:w="90" w:type="dxa"/>
              <w:start w:w="100" w:type="dxa"/>
              <w:bottom w:w="90" w:type="dxa"/>
              <w:end w:w="100" w:type="dxa"/>
            </w:tcMar>
            <w:vAlign w:val="center"/>
            <w:shd w:fill="FAFBFC"/>
          </w:tcPr>
          <w:p>
            <w:pPr>
              <w:spacing w:after="0" w:line="247" w:lineRule="auto"/>
            </w:pPr>
            <w:r>
              <w:rPr>
                <w:rFonts w:ascii="Arial" w:hAnsi="Arial"/>
                <w:b/>
                <w:color w:val="1F2937"/>
                <w:sz w:val="17"/>
              </w:rPr>
              <w:t>Control plane</w:t>
            </w:r>
          </w:p>
        </w:tc>
        <w:tc>
          <w:tcPr>
            <w:tcW w:type="dxa" w:w="7703"/>
            <w:tcMar>
              <w:top w:w="90" w:type="dxa"/>
              <w:start w:w="100" w:type="dxa"/>
              <w:bottom w:w="90" w:type="dxa"/>
              <w:end w:w="100" w:type="dxa"/>
            </w:tcMar>
            <w:vAlign w:val="center"/>
            <w:shd w:fill="FAFBFC"/>
          </w:tcPr>
          <w:p>
            <w:pPr>
              <w:spacing w:after="0" w:line="247" w:lineRule="auto"/>
            </w:pPr>
            <w:r>
              <w:rPr>
                <w:rFonts w:ascii="Arial" w:hAnsi="Arial"/>
                <w:b w:val="0"/>
                <w:color w:val="1F2937"/>
                <w:sz w:val="17"/>
              </w:rPr>
              <w:t>The Quantum Parks application functions used to configure, govern, test, publish and monitor the agent.</w:t>
            </w:r>
          </w:p>
        </w:tc>
      </w:tr>
      <w:tr>
        <w:tc>
          <w:tcPr>
            <w:tcW w:type="dxa" w:w="2232"/>
            <w:tcMar>
              <w:top w:w="90" w:type="dxa"/>
              <w:start w:w="100" w:type="dxa"/>
              <w:bottom w:w="90" w:type="dxa"/>
              <w:end w:w="100" w:type="dxa"/>
            </w:tcMar>
            <w:vAlign w:val="center"/>
          </w:tcPr>
          <w:p>
            <w:pPr>
              <w:spacing w:after="0" w:line="247" w:lineRule="auto"/>
            </w:pPr>
            <w:r>
              <w:rPr>
                <w:rFonts w:ascii="Arial" w:hAnsi="Arial"/>
                <w:b/>
                <w:color w:val="1F2937"/>
                <w:sz w:val="17"/>
              </w:rPr>
              <w:t>Canonical transcript</w:t>
            </w:r>
          </w:p>
        </w:tc>
        <w:tc>
          <w:tcPr>
            <w:tcW w:type="dxa" w:w="7703"/>
            <w:tcMar>
              <w:top w:w="90" w:type="dxa"/>
              <w:start w:w="100" w:type="dxa"/>
              <w:bottom w:w="90" w:type="dxa"/>
              <w:end w:w="100" w:type="dxa"/>
            </w:tcMar>
            <w:vAlign w:val="center"/>
          </w:tcPr>
          <w:p>
            <w:pPr>
              <w:spacing w:after="0" w:line="247" w:lineRule="auto"/>
            </w:pPr>
            <w:r>
              <w:rPr>
                <w:rFonts w:ascii="Arial" w:hAnsi="Arial"/>
                <w:b w:val="0"/>
                <w:color w:val="1F2937"/>
                <w:sz w:val="17"/>
              </w:rPr>
              <w:t>The normalized, redacted and governed Quantum Parks transcript record derived from the provider transcript.</w:t>
            </w:r>
          </w:p>
        </w:tc>
      </w:tr>
      <w:tr>
        <w:tc>
          <w:tcPr>
            <w:tcW w:type="dxa" w:w="2232"/>
            <w:tcMar>
              <w:top w:w="90" w:type="dxa"/>
              <w:start w:w="100" w:type="dxa"/>
              <w:bottom w:w="90" w:type="dxa"/>
              <w:end w:w="100" w:type="dxa"/>
            </w:tcMar>
            <w:vAlign w:val="center"/>
            <w:shd w:fill="FAFBFC"/>
          </w:tcPr>
          <w:p>
            <w:pPr>
              <w:spacing w:after="0" w:line="247" w:lineRule="auto"/>
            </w:pPr>
            <w:r>
              <w:rPr>
                <w:rFonts w:ascii="Arial" w:hAnsi="Arial"/>
                <w:b/>
                <w:color w:val="1F2937"/>
                <w:sz w:val="17"/>
              </w:rPr>
              <w:t>Knowledge asset</w:t>
            </w:r>
          </w:p>
        </w:tc>
        <w:tc>
          <w:tcPr>
            <w:tcW w:type="dxa" w:w="7703"/>
            <w:tcMar>
              <w:top w:w="90" w:type="dxa"/>
              <w:start w:w="100" w:type="dxa"/>
              <w:bottom w:w="90" w:type="dxa"/>
              <w:end w:w="100" w:type="dxa"/>
            </w:tcMar>
            <w:vAlign w:val="center"/>
            <w:shd w:fill="FAFBFC"/>
          </w:tcPr>
          <w:p>
            <w:pPr>
              <w:spacing w:after="0" w:line="247" w:lineRule="auto"/>
            </w:pPr>
            <w:r>
              <w:rPr>
                <w:rFonts w:ascii="Arial" w:hAnsi="Arial"/>
                <w:b w:val="0"/>
                <w:color w:val="1F2937"/>
                <w:sz w:val="17"/>
              </w:rPr>
              <w:t>A Quantum Parks-owned FAQ, SOP, policy, schedule, price list, document, URL or structured content source.</w:t>
            </w:r>
          </w:p>
        </w:tc>
      </w:tr>
      <w:tr>
        <w:tc>
          <w:tcPr>
            <w:tcW w:type="dxa" w:w="2232"/>
            <w:tcMar>
              <w:top w:w="90" w:type="dxa"/>
              <w:start w:w="100" w:type="dxa"/>
              <w:bottom w:w="90" w:type="dxa"/>
              <w:end w:w="100" w:type="dxa"/>
            </w:tcMar>
            <w:vAlign w:val="center"/>
          </w:tcPr>
          <w:p>
            <w:pPr>
              <w:spacing w:after="0" w:line="247" w:lineRule="auto"/>
            </w:pPr>
            <w:r>
              <w:rPr>
                <w:rFonts w:ascii="Arial" w:hAnsi="Arial"/>
                <w:b/>
                <w:color w:val="1F2937"/>
                <w:sz w:val="17"/>
              </w:rPr>
              <w:t>Runtime copy</w:t>
            </w:r>
          </w:p>
        </w:tc>
        <w:tc>
          <w:tcPr>
            <w:tcW w:type="dxa" w:w="7703"/>
            <w:tcMar>
              <w:top w:w="90" w:type="dxa"/>
              <w:start w:w="100" w:type="dxa"/>
              <w:bottom w:w="90" w:type="dxa"/>
              <w:end w:w="100" w:type="dxa"/>
            </w:tcMar>
            <w:vAlign w:val="center"/>
          </w:tcPr>
          <w:p>
            <w:pPr>
              <w:spacing w:after="0" w:line="247" w:lineRule="auto"/>
            </w:pPr>
            <w:r>
              <w:rPr>
                <w:rFonts w:ascii="Arial" w:hAnsi="Arial"/>
                <w:b w:val="0"/>
                <w:color w:val="1F2937"/>
                <w:sz w:val="17"/>
              </w:rPr>
              <w:t>The approved agent or knowledge representation synchronized into ElevenLabs for live execution.</w:t>
            </w:r>
          </w:p>
        </w:tc>
      </w:tr>
      <w:tr>
        <w:tc>
          <w:tcPr>
            <w:tcW w:type="dxa" w:w="2232"/>
            <w:tcMar>
              <w:top w:w="90" w:type="dxa"/>
              <w:start w:w="100" w:type="dxa"/>
              <w:bottom w:w="90" w:type="dxa"/>
              <w:end w:w="100" w:type="dxa"/>
            </w:tcMar>
            <w:vAlign w:val="center"/>
            <w:shd w:fill="FAFBFC"/>
          </w:tcPr>
          <w:p>
            <w:pPr>
              <w:spacing w:after="0" w:line="247" w:lineRule="auto"/>
            </w:pPr>
            <w:r>
              <w:rPr>
                <w:rFonts w:ascii="Arial" w:hAnsi="Arial"/>
                <w:b/>
                <w:color w:val="1F2937"/>
                <w:sz w:val="17"/>
              </w:rPr>
              <w:t>Drift</w:t>
            </w:r>
          </w:p>
        </w:tc>
        <w:tc>
          <w:tcPr>
            <w:tcW w:type="dxa" w:w="7703"/>
            <w:tcMar>
              <w:top w:w="90" w:type="dxa"/>
              <w:start w:w="100" w:type="dxa"/>
              <w:bottom w:w="90" w:type="dxa"/>
              <w:end w:w="100" w:type="dxa"/>
            </w:tcMar>
            <w:vAlign w:val="center"/>
            <w:shd w:fill="FAFBFC"/>
          </w:tcPr>
          <w:p>
            <w:pPr>
              <w:spacing w:after="0" w:line="247" w:lineRule="auto"/>
            </w:pPr>
            <w:r>
              <w:rPr>
                <w:rFonts w:ascii="Arial" w:hAnsi="Arial"/>
                <w:b w:val="0"/>
                <w:color w:val="1F2937"/>
                <w:sz w:val="17"/>
              </w:rPr>
              <w:t>A difference between the approved Quantum Parks state and the current ElevenLabs runtime state.</w:t>
            </w:r>
          </w:p>
        </w:tc>
      </w:tr>
      <w:tr>
        <w:tc>
          <w:tcPr>
            <w:tcW w:type="dxa" w:w="2232"/>
            <w:tcMar>
              <w:top w:w="90" w:type="dxa"/>
              <w:start w:w="100" w:type="dxa"/>
              <w:bottom w:w="90" w:type="dxa"/>
              <w:end w:w="100" w:type="dxa"/>
            </w:tcMar>
            <w:vAlign w:val="center"/>
          </w:tcPr>
          <w:p>
            <w:pPr>
              <w:spacing w:after="0" w:line="247" w:lineRule="auto"/>
            </w:pPr>
            <w:r>
              <w:rPr>
                <w:rFonts w:ascii="Arial" w:hAnsi="Arial"/>
                <w:b/>
                <w:color w:val="1F2937"/>
                <w:sz w:val="17"/>
              </w:rPr>
              <w:t>Personalization</w:t>
            </w:r>
          </w:p>
        </w:tc>
        <w:tc>
          <w:tcPr>
            <w:tcW w:type="dxa" w:w="7703"/>
            <w:tcMar>
              <w:top w:w="90" w:type="dxa"/>
              <w:start w:w="100" w:type="dxa"/>
              <w:bottom w:w="90" w:type="dxa"/>
              <w:end w:w="100" w:type="dxa"/>
            </w:tcMar>
            <w:vAlign w:val="center"/>
          </w:tcPr>
          <w:p>
            <w:pPr>
              <w:spacing w:after="0" w:line="247" w:lineRule="auto"/>
            </w:pPr>
            <w:r>
              <w:rPr>
                <w:rFonts w:ascii="Arial" w:hAnsi="Arial"/>
                <w:b w:val="0"/>
                <w:color w:val="1F2937"/>
                <w:sz w:val="17"/>
              </w:rPr>
              <w:t>Call-initiation data and approved overrides supplied to ElevenLabs for a specific caller or call.</w:t>
            </w:r>
          </w:p>
        </w:tc>
      </w:tr>
      <w:tr>
        <w:tc>
          <w:tcPr>
            <w:tcW w:type="dxa" w:w="2232"/>
            <w:tcMar>
              <w:top w:w="90" w:type="dxa"/>
              <w:start w:w="100" w:type="dxa"/>
              <w:bottom w:w="90" w:type="dxa"/>
              <w:end w:w="100" w:type="dxa"/>
            </w:tcMar>
            <w:vAlign w:val="center"/>
            <w:shd w:fill="FAFBFC"/>
          </w:tcPr>
          <w:p>
            <w:pPr>
              <w:spacing w:after="0" w:line="247" w:lineRule="auto"/>
            </w:pPr>
            <w:r>
              <w:rPr>
                <w:rFonts w:ascii="Arial" w:hAnsi="Arial"/>
                <w:b/>
                <w:color w:val="1F2937"/>
                <w:sz w:val="17"/>
              </w:rPr>
              <w:t>Webhook tool</w:t>
            </w:r>
          </w:p>
        </w:tc>
        <w:tc>
          <w:tcPr>
            <w:tcW w:type="dxa" w:w="7703"/>
            <w:tcMar>
              <w:top w:w="90" w:type="dxa"/>
              <w:start w:w="100" w:type="dxa"/>
              <w:bottom w:w="90" w:type="dxa"/>
              <w:end w:w="100" w:type="dxa"/>
            </w:tcMar>
            <w:vAlign w:val="center"/>
            <w:shd w:fill="FAFBFC"/>
          </w:tcPr>
          <w:p>
            <w:pPr>
              <w:spacing w:after="0" w:line="247" w:lineRule="auto"/>
            </w:pPr>
            <w:r>
              <w:rPr>
                <w:rFonts w:ascii="Arial" w:hAnsi="Arial"/>
                <w:b w:val="0"/>
                <w:color w:val="1F2937"/>
                <w:sz w:val="17"/>
              </w:rPr>
              <w:t>A typed API function the ElevenLabs agent can call during the conversation.</w:t>
            </w:r>
          </w:p>
        </w:tc>
      </w:tr>
      <w:tr>
        <w:tc>
          <w:tcPr>
            <w:tcW w:type="dxa" w:w="2232"/>
            <w:tcMar>
              <w:top w:w="90" w:type="dxa"/>
              <w:start w:w="100" w:type="dxa"/>
              <w:bottom w:w="90" w:type="dxa"/>
              <w:end w:w="100" w:type="dxa"/>
            </w:tcMar>
            <w:vAlign w:val="center"/>
          </w:tcPr>
          <w:p>
            <w:pPr>
              <w:spacing w:after="0" w:line="247" w:lineRule="auto"/>
            </w:pPr>
            <w:r>
              <w:rPr>
                <w:rFonts w:ascii="Arial" w:hAnsi="Arial"/>
                <w:b/>
                <w:color w:val="1F2937"/>
                <w:sz w:val="17"/>
              </w:rPr>
              <w:t>Post-call webhook</w:t>
            </w:r>
          </w:p>
        </w:tc>
        <w:tc>
          <w:tcPr>
            <w:tcW w:type="dxa" w:w="7703"/>
            <w:tcMar>
              <w:top w:w="90" w:type="dxa"/>
              <w:start w:w="100" w:type="dxa"/>
              <w:bottom w:w="90" w:type="dxa"/>
              <w:end w:w="100" w:type="dxa"/>
            </w:tcMar>
            <w:vAlign w:val="center"/>
          </w:tcPr>
          <w:p>
            <w:pPr>
              <w:spacing w:after="0" w:line="247" w:lineRule="auto"/>
            </w:pPr>
            <w:r>
              <w:rPr>
                <w:rFonts w:ascii="Arial" w:hAnsi="Arial"/>
                <w:b w:val="0"/>
                <w:color w:val="1F2937"/>
                <w:sz w:val="17"/>
              </w:rPr>
              <w:t>The ElevenLabs event sent after a call and analysis are complete, containing transcript and metadata.</w:t>
            </w:r>
          </w:p>
        </w:tc>
      </w:tr>
      <w:tr>
        <w:tc>
          <w:tcPr>
            <w:tcW w:type="dxa" w:w="2232"/>
            <w:tcMar>
              <w:top w:w="90" w:type="dxa"/>
              <w:start w:w="100" w:type="dxa"/>
              <w:bottom w:w="90" w:type="dxa"/>
              <w:end w:w="100" w:type="dxa"/>
            </w:tcMar>
            <w:vAlign w:val="center"/>
            <w:shd w:fill="FAFBFC"/>
          </w:tcPr>
          <w:p>
            <w:pPr>
              <w:spacing w:after="0" w:line="247" w:lineRule="auto"/>
            </w:pPr>
            <w:r>
              <w:rPr>
                <w:rFonts w:ascii="Arial" w:hAnsi="Arial"/>
                <w:b/>
                <w:color w:val="1F2937"/>
                <w:sz w:val="17"/>
              </w:rPr>
              <w:t>Activation gate</w:t>
            </w:r>
          </w:p>
        </w:tc>
        <w:tc>
          <w:tcPr>
            <w:tcW w:type="dxa" w:w="7703"/>
            <w:tcMar>
              <w:top w:w="90" w:type="dxa"/>
              <w:start w:w="100" w:type="dxa"/>
              <w:bottom w:w="90" w:type="dxa"/>
              <w:end w:w="100" w:type="dxa"/>
            </w:tcMar>
            <w:vAlign w:val="center"/>
            <w:shd w:fill="FAFBFC"/>
          </w:tcPr>
          <w:p>
            <w:pPr>
              <w:spacing w:after="0" w:line="247" w:lineRule="auto"/>
            </w:pPr>
            <w:r>
              <w:rPr>
                <w:rFonts w:ascii="Arial" w:hAnsi="Arial"/>
                <w:b w:val="0"/>
                <w:color w:val="1F2937"/>
                <w:sz w:val="17"/>
              </w:rPr>
              <w:t>A requirement that must pass before a built capability can be enabled in production.</w:t>
            </w:r>
          </w:p>
        </w:tc>
      </w:tr>
    </w:tbl>
    <w:p>
      <w:pPr>
        <w:spacing w:after="40"/>
      </w:pPr>
    </w:p>
    <w:p>
      <w:pPr>
        <w:pStyle w:val="Heading2"/>
        <w:keepNext/>
      </w:pPr>
      <w:r>
        <w:rPr>
          <w:rFonts w:ascii="Arial" w:hAnsi="Arial"/>
        </w:rPr>
        <w:t>A.2 Superseded architecture assumptions</w:t>
      </w:r>
    </w:p>
    <w:p>
      <w:pPr>
        <w:spacing w:before="0" w:after="120" w:line="259" w:lineRule="auto"/>
      </w:pPr>
      <w:r>
        <w:rPr>
          <w:rFonts w:ascii="Arial" w:hAnsi="Arial"/>
          <w:i w:val="0"/>
        </w:rPr>
        <w:t>This PRD supersedes PRD v1.0 wherever the earlier document describes a custom AI telephone engine, provider-neutral real-time speech runtime or user dependence on the ElevenLabs console. The original customer-service goals, multilingual need, human escalation, customer context, digital handoff, post-call summaries, historical reporting, trends, knowledge gaps and safe booking/payment boundaries remain applicable.</w:t>
      </w:r>
    </w:p>
    <w:p>
      <w:pPr>
        <w:pStyle w:val="Heading2"/>
        <w:keepNext/>
      </w:pPr>
      <w:r>
        <w:rPr>
          <w:rFonts w:ascii="Arial" w:hAnsi="Arial"/>
        </w:rPr>
        <w:t>A.3 Official ElevenLabs reference assumptions</w:t>
      </w:r>
    </w:p>
    <w:p>
      <w:pPr>
        <w:spacing w:before="0" w:after="120" w:line="259" w:lineRule="auto"/>
      </w:pPr>
      <w:r>
        <w:rPr>
          <w:rFonts w:ascii="Arial" w:hAnsi="Arial"/>
          <w:i w:val="0"/>
        </w:rPr>
        <w:t>The following official documentation was reviewed to confirm the integration direction. Provider capabilities, endpoint schemas, account-tier access and deprecations must be revalidated during implementation and before each production release.</w:t>
      </w:r>
    </w:p>
    <w:p>
      <w:pPr>
        <w:pStyle w:val="ListBullet"/>
        <w:spacing w:before="0" w:after="60" w:line="259" w:lineRule="auto"/>
      </w:pPr>
      <w:hyperlink r:id="rId16">
        <w:r>
          <w:rPr>
            <w:color w:val="0563C1"/>
            <w:u w:val="single"/>
            <w:rFonts w:ascii="Arial" w:hAnsi="Arial"/>
          </w:rPr>
          <w:t>ElevenAgents overview</w:t>
        </w:r>
      </w:hyperlink>
    </w:p>
    <w:p>
      <w:pPr>
        <w:pStyle w:val="ListBullet"/>
        <w:spacing w:before="0" w:after="60" w:line="259" w:lineRule="auto"/>
      </w:pPr>
      <w:hyperlink r:id="rId17">
        <w:r>
          <w:rPr>
            <w:color w:val="0563C1"/>
            <w:u w:val="single"/>
            <w:rFonts w:ascii="Arial" w:hAnsi="Arial"/>
          </w:rPr>
          <w:t>Create agent API</w:t>
        </w:r>
      </w:hyperlink>
    </w:p>
    <w:p>
      <w:pPr>
        <w:pStyle w:val="ListBullet"/>
        <w:spacing w:before="0" w:after="60" w:line="259" w:lineRule="auto"/>
      </w:pPr>
      <w:hyperlink r:id="rId18">
        <w:r>
          <w:rPr>
            <w:color w:val="0563C1"/>
            <w:u w:val="single"/>
            <w:rFonts w:ascii="Arial" w:hAnsi="Arial"/>
          </w:rPr>
          <w:t>Knowledge base - create from text</w:t>
        </w:r>
      </w:hyperlink>
    </w:p>
    <w:p>
      <w:pPr>
        <w:pStyle w:val="ListBullet"/>
        <w:spacing w:before="0" w:after="60" w:line="259" w:lineRule="auto"/>
      </w:pPr>
      <w:hyperlink r:id="rId19">
        <w:r>
          <w:rPr>
            <w:color w:val="0563C1"/>
            <w:u w:val="single"/>
            <w:rFonts w:ascii="Arial" w:hAnsi="Arial"/>
          </w:rPr>
          <w:t>Knowledge base - create from file</w:t>
        </w:r>
      </w:hyperlink>
    </w:p>
    <w:p>
      <w:pPr>
        <w:pStyle w:val="ListBullet"/>
        <w:spacing w:before="0" w:after="60" w:line="259" w:lineRule="auto"/>
      </w:pPr>
      <w:hyperlink r:id="rId20">
        <w:r>
          <w:rPr>
            <w:color w:val="0563C1"/>
            <w:u w:val="single"/>
            <w:rFonts w:ascii="Arial" w:hAnsi="Arial"/>
          </w:rPr>
          <w:t>Knowledge base - create from URL</w:t>
        </w:r>
      </w:hyperlink>
    </w:p>
    <w:p>
      <w:pPr>
        <w:pStyle w:val="ListBullet"/>
        <w:spacing w:before="0" w:after="60" w:line="259" w:lineRule="auto"/>
      </w:pPr>
      <w:hyperlink r:id="rId21">
        <w:r>
          <w:rPr>
            <w:color w:val="0563C1"/>
            <w:u w:val="single"/>
            <w:rFonts w:ascii="Arial" w:hAnsi="Arial"/>
          </w:rPr>
          <w:t>Knowledge base - update</w:t>
        </w:r>
      </w:hyperlink>
    </w:p>
    <w:p>
      <w:pPr>
        <w:pStyle w:val="ListBullet"/>
        <w:spacing w:before="0" w:after="60" w:line="259" w:lineRule="auto"/>
      </w:pPr>
      <w:hyperlink r:id="rId22">
        <w:r>
          <w:rPr>
            <w:color w:val="0563C1"/>
            <w:u w:val="single"/>
            <w:rFonts w:ascii="Arial" w:hAnsi="Arial"/>
          </w:rPr>
          <w:t>Agent testing</w:t>
        </w:r>
      </w:hyperlink>
    </w:p>
    <w:p>
      <w:pPr>
        <w:pStyle w:val="ListBullet"/>
        <w:spacing w:before="0" w:after="60" w:line="259" w:lineRule="auto"/>
      </w:pPr>
      <w:hyperlink r:id="rId23">
        <w:r>
          <w:rPr>
            <w:color w:val="0563C1"/>
            <w:u w:val="single"/>
            <w:rFonts w:ascii="Arial" w:hAnsi="Arial"/>
          </w:rPr>
          <w:t>Run tests API</w:t>
        </w:r>
      </w:hyperlink>
    </w:p>
    <w:p>
      <w:pPr>
        <w:pStyle w:val="ListBullet"/>
        <w:spacing w:before="0" w:after="60" w:line="259" w:lineRule="auto"/>
      </w:pPr>
      <w:hyperlink r:id="rId24">
        <w:r>
          <w:rPr>
            <w:color w:val="0563C1"/>
            <w:u w:val="single"/>
            <w:rFonts w:ascii="Arial" w:hAnsi="Arial"/>
          </w:rPr>
          <w:t>Voice catalogue API</w:t>
        </w:r>
      </w:hyperlink>
    </w:p>
    <w:p>
      <w:pPr>
        <w:pStyle w:val="ListBullet"/>
        <w:spacing w:before="0" w:after="60" w:line="259" w:lineRule="auto"/>
      </w:pPr>
      <w:hyperlink r:id="rId25">
        <w:r>
          <w:rPr>
            <w:color w:val="0563C1"/>
            <w:u w:val="single"/>
            <w:rFonts w:ascii="Arial" w:hAnsi="Arial"/>
          </w:rPr>
          <w:t>Post-call webhooks</w:t>
        </w:r>
      </w:hyperlink>
    </w:p>
    <w:p>
      <w:pPr>
        <w:pStyle w:val="ListBullet"/>
        <w:spacing w:before="0" w:after="60" w:line="259" w:lineRule="auto"/>
      </w:pPr>
      <w:hyperlink r:id="rId26">
        <w:r>
          <w:rPr>
            <w:color w:val="0563C1"/>
            <w:u w:val="single"/>
            <w:rFonts w:ascii="Arial" w:hAnsi="Arial"/>
          </w:rPr>
          <w:t>Personalization</w:t>
        </w:r>
      </w:hyperlink>
    </w:p>
    <w:p>
      <w:pPr>
        <w:pStyle w:val="ListBullet"/>
        <w:spacing w:before="0" w:after="60" w:line="259" w:lineRule="auto"/>
      </w:pPr>
      <w:hyperlink r:id="rId27">
        <w:r>
          <w:rPr>
            <w:color w:val="0563C1"/>
            <w:u w:val="single"/>
            <w:rFonts w:ascii="Arial" w:hAnsi="Arial"/>
          </w:rPr>
          <w:t>Twilio inbound personalization</w:t>
        </w:r>
      </w:hyperlink>
    </w:p>
    <w:p>
      <w:pPr>
        <w:pStyle w:val="ListBullet"/>
        <w:spacing w:before="0" w:after="60" w:line="259" w:lineRule="auto"/>
      </w:pPr>
      <w:hyperlink r:id="rId28">
        <w:r>
          <w:rPr>
            <w:color w:val="0563C1"/>
            <w:u w:val="single"/>
            <w:rFonts w:ascii="Arial" w:hAnsi="Arial"/>
          </w:rPr>
          <w:t>Webhook tools</w:t>
        </w:r>
      </w:hyperlink>
    </w:p>
    <w:p>
      <w:pPr>
        <w:pStyle w:val="ListBullet"/>
        <w:spacing w:before="0" w:after="60" w:line="259" w:lineRule="auto"/>
      </w:pPr>
      <w:hyperlink r:id="rId29">
        <w:r>
          <w:rPr>
            <w:color w:val="0563C1"/>
            <w:u w:val="single"/>
            <w:rFonts w:ascii="Arial" w:hAnsi="Arial"/>
          </w:rPr>
          <w:t>API keys and service accounts</w:t>
        </w:r>
      </w:hyperlink>
    </w:p>
    <w:p>
      <w:pPr>
        <w:pStyle w:val="Heading2"/>
        <w:keepNext/>
      </w:pPr>
      <w:r>
        <w:rPr>
          <w:rFonts w:ascii="Arial" w:hAnsi="Arial"/>
        </w:rPr>
        <w:t>A.4 Source basis and assumptions to validate</w:t>
      </w:r>
    </w:p>
    <w:p>
      <w:pPr>
        <w:pStyle w:val="ListBullet"/>
        <w:spacing w:before="0" w:after="60" w:line="259" w:lineRule="auto"/>
      </w:pPr>
      <w:r>
        <w:rPr>
          <w:rFonts w:ascii="Arial" w:hAnsi="Arial"/>
          <w:sz w:val="20"/>
        </w:rPr>
        <w:t>Quantum Parks intends ElevenLabs to be the live voice receptionist and the Quantum Parks application to be the exclusive normal-user operating interface.</w:t>
      </w:r>
    </w:p>
    <w:p>
      <w:pPr>
        <w:pStyle w:val="ListBullet"/>
        <w:spacing w:before="0" w:after="60" w:line="259" w:lineRule="auto"/>
      </w:pPr>
      <w:r>
        <w:rPr>
          <w:rFonts w:ascii="Arial" w:hAnsi="Arial"/>
          <w:sz w:val="20"/>
        </w:rPr>
        <w:t>ElevenLabs will send a provider transcript and metadata to the Quantum Parks application after the call.</w:t>
      </w:r>
    </w:p>
    <w:p>
      <w:pPr>
        <w:pStyle w:val="ListBullet"/>
        <w:spacing w:before="0" w:after="60" w:line="259" w:lineRule="auto"/>
      </w:pPr>
      <w:r>
        <w:rPr>
          <w:rFonts w:ascii="Arial" w:hAnsi="Arial"/>
          <w:sz w:val="20"/>
        </w:rPr>
        <w:t>Quantum Parks will own the canonical transcript, summary, call history, analytics, reports and historical intelligence.</w:t>
      </w:r>
    </w:p>
    <w:p>
      <w:pPr>
        <w:pStyle w:val="ListBullet"/>
        <w:spacing w:before="0" w:after="60" w:line="259" w:lineRule="auto"/>
      </w:pPr>
      <w:r>
        <w:rPr>
          <w:rFonts w:ascii="Arial" w:hAnsi="Arial"/>
          <w:sz w:val="20"/>
        </w:rPr>
        <w:t>Quantum Parks will own the master company knowledge and synchronize approved runtime copies into ElevenLabs.</w:t>
      </w:r>
    </w:p>
    <w:p>
      <w:pPr>
        <w:pStyle w:val="ListBullet"/>
        <w:spacing w:before="0" w:after="60" w:line="259" w:lineRule="auto"/>
      </w:pPr>
      <w:r>
        <w:rPr>
          <w:rFonts w:ascii="Arial" w:hAnsi="Arial"/>
          <w:sz w:val="20"/>
        </w:rPr>
        <w:t>The app will expose the supported agent, knowledge, voice and testing capabilities through backend API integrations.</w:t>
      </w:r>
    </w:p>
    <w:p>
      <w:pPr>
        <w:pStyle w:val="ListBullet"/>
        <w:spacing w:before="0" w:after="60" w:line="259" w:lineRule="auto"/>
      </w:pPr>
      <w:r>
        <w:rPr>
          <w:rFonts w:ascii="Arial" w:hAnsi="Arial"/>
          <w:sz w:val="20"/>
        </w:rPr>
        <w:t>The exact vendor plan, account tier, data location, retention mode, telephone route and API-accessible function set remain to be confirmed.</w:t>
      </w:r>
    </w:p>
    <w:sectPr w:rsidR="00FC693F" w:rsidRPr="0006063C" w:rsidSect="00034616">
      <w:headerReference w:type="default" r:id="rId9"/>
      <w:footerReference w:type="default" r:id="rId10"/>
      <w:pgSz w:w="12240" w:h="15840"/>
      <w:pgMar w:top="936" w:right="1037" w:bottom="936" w:left="1037"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Arial" w:hAnsi="Arial"/>
        <w:b/>
        <w:color w:val="667085"/>
        <w:sz w:val="16"/>
      </w:rPr>
      <w:t>QUANTUM PARKS  |  ELEVENLABS RECEPTIONIST PLATFORM PRD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2304A"/>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8C83"/>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6F4C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rial" w:hAnsi="Arial"/>
      <w:color w:val="1F2937"/>
      <w:sz w:val="20"/>
    </w:rPr>
  </w:style>
  <w:style w:type="paragraph" w:styleId="ListBullet2">
    <w:name w:val="List Bullet 2"/>
    <w:basedOn w:val="Normal"/>
    <w:uiPriority w:val="99"/>
    <w:unhideWhenUsed/>
    <w:rsid w:val="00326F90"/>
    <w:pPr>
      <w:numPr>
        <w:numId w:val="2"/>
      </w:numPr>
      <w:spacing w:after="60" w:line="252" w:lineRule="auto"/>
      <w:contextualSpacing/>
    </w:pPr>
    <w:rPr>
      <w:rFonts w:ascii="Arial" w:hAnsi="Arial"/>
      <w:color w:val="1F2937"/>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rial" w:hAnsi="Arial"/>
      <w:color w:val="1F29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DCaption">
    <w:name w:val="PRD Caption"/>
    <w:pPr>
      <w:spacing w:after="160"/>
      <w:jc w:val="center"/>
    </w:pPr>
    <w:rPr>
      <w:rFonts w:ascii="Calibri" w:hAnsi="Calibri"/>
      <w:i/>
      <w:color w:val="667785"/>
      <w:sz w:val="17"/>
    </w:rPr>
  </w:style>
  <w:style w:type="paragraph" w:customStyle="1" w:styleId="PRDSmall">
    <w:name w:val="PRD Small"/>
    <w:pPr>
      <w:spacing w:after="60"/>
    </w:pPr>
    <w:rPr>
      <w:rFonts w:ascii="Arial" w:hAnsi="Arial"/>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elevenlabs.io/docs/eleven-agents/overview" TargetMode="External"/><Relationship Id="rId17" Type="http://schemas.openxmlformats.org/officeDocument/2006/relationships/hyperlink" Target="https://elevenlabs.io/docs/eleven-agents/api-reference/agents/create" TargetMode="External"/><Relationship Id="rId18" Type="http://schemas.openxmlformats.org/officeDocument/2006/relationships/hyperlink" Target="https://elevenlabs.io/docs/eleven-agents/api-reference/knowledge-base/create-from-text" TargetMode="External"/><Relationship Id="rId19" Type="http://schemas.openxmlformats.org/officeDocument/2006/relationships/hyperlink" Target="https://elevenlabs.io/docs/eleven-agents/api-reference/knowledge-base/create-from-file" TargetMode="External"/><Relationship Id="rId20" Type="http://schemas.openxmlformats.org/officeDocument/2006/relationships/hyperlink" Target="https://elevenlabs.io/docs/eleven-agents/api-reference/knowledge-base/create-from-url" TargetMode="External"/><Relationship Id="rId21" Type="http://schemas.openxmlformats.org/officeDocument/2006/relationships/hyperlink" Target="https://elevenlabs.io/docs/eleven-agents/api-reference/knowledge-base/update" TargetMode="External"/><Relationship Id="rId22" Type="http://schemas.openxmlformats.org/officeDocument/2006/relationships/hyperlink" Target="https://elevenlabs.io/docs/eleven-agents/customization/agent-testing" TargetMode="External"/><Relationship Id="rId23" Type="http://schemas.openxmlformats.org/officeDocument/2006/relationships/hyperlink" Target="https://elevenlabs.io/docs/eleven-agents/api-reference/tests/run-tests" TargetMode="External"/><Relationship Id="rId24" Type="http://schemas.openxmlformats.org/officeDocument/2006/relationships/hyperlink" Target="https://elevenlabs.io/docs/api-reference/voices/search" TargetMode="External"/><Relationship Id="rId25" Type="http://schemas.openxmlformats.org/officeDocument/2006/relationships/hyperlink" Target="https://elevenlabs.io/docs/eleven-agents/workflows/post-call-webhooks" TargetMode="External"/><Relationship Id="rId26" Type="http://schemas.openxmlformats.org/officeDocument/2006/relationships/hyperlink" Target="https://elevenlabs.io/docs/eleven-agents/customization/personalization" TargetMode="External"/><Relationship Id="rId27" Type="http://schemas.openxmlformats.org/officeDocument/2006/relationships/hyperlink" Target="https://elevenlabs.io/docs/eleven-agents/phone-numbers/twilio-integration/customising-calls" TargetMode="External"/><Relationship Id="rId28" Type="http://schemas.openxmlformats.org/officeDocument/2006/relationships/hyperlink" Target="https://elevenlabs.io/docs/eleven-agents/customization/tools/webhook-tools" TargetMode="External"/><Relationship Id="rId29" Type="http://schemas.openxmlformats.org/officeDocument/2006/relationships/hyperlink" Target="https://elevenlabs.io/docs/overview/administration/workspaces/api-ke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Parks ElevenLabs-Powered AI Receptionist Control &amp; Intelligence Platform PRD v2.0</dc:title>
  <dc:subject>Revised product requirements document</dc:subject>
  <dc:creator>Quantum Parks</dc:creator>
  <cp:keywords/>
  <dc:description>generated by python-docx</dc:description>
  <cp:lastModifiedBy/>
  <cp:revision>1</cp:revision>
  <dcterms:created xsi:type="dcterms:W3CDTF">2013-12-23T23:15:00Z</dcterms:created>
  <dcterms:modified xsi:type="dcterms:W3CDTF">2013-12-23T23:15:00Z</dcterms:modified>
  <cp:category/>
</cp:coreProperties>
</file>