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07B" w:rsidRDefault="006A4157" w:rsidP="006A4157">
      <w:pPr>
        <w:rPr>
          <w:rFonts w:cstheme="minorHAnsi"/>
        </w:rPr>
      </w:pPr>
      <w:r w:rsidRPr="0017576A">
        <w:rPr>
          <w:rFonts w:cstheme="minorHAnsi"/>
        </w:rPr>
        <w:t xml:space="preserve">This retrospective study is on analysing </w:t>
      </w:r>
      <w:r w:rsidR="0024207B">
        <w:rPr>
          <w:rFonts w:cstheme="minorHAnsi"/>
        </w:rPr>
        <w:t>the difference in the quality of data affected by the visual aids used by students. There are two type of data recorded in the experiment.</w:t>
      </w:r>
    </w:p>
    <w:p w:rsidR="00F4289D" w:rsidRPr="0024207B" w:rsidRDefault="0024207B" w:rsidP="0024207B">
      <w:pPr>
        <w:pStyle w:val="ListParagraph"/>
        <w:numPr>
          <w:ilvl w:val="0"/>
          <w:numId w:val="1"/>
        </w:numPr>
        <w:rPr>
          <w:b/>
        </w:rPr>
      </w:pPr>
      <w:r>
        <w:rPr>
          <w:rFonts w:cstheme="minorHAnsi"/>
        </w:rPr>
        <w:t>Whether a student wear visual aid or not (Qualitative)</w:t>
      </w:r>
    </w:p>
    <w:p w:rsidR="0024207B" w:rsidRPr="0024207B" w:rsidRDefault="0024207B" w:rsidP="0024207B">
      <w:pPr>
        <w:pStyle w:val="ListParagraph"/>
        <w:numPr>
          <w:ilvl w:val="0"/>
          <w:numId w:val="1"/>
        </w:numPr>
        <w:rPr>
          <w:b/>
        </w:rPr>
      </w:pPr>
      <w:r>
        <w:rPr>
          <w:rFonts w:cstheme="minorHAnsi"/>
        </w:rPr>
        <w:t>Quality score of each student (Quantitative</w:t>
      </w:r>
      <w:r w:rsidR="000913C5">
        <w:rPr>
          <w:rFonts w:cstheme="minorHAnsi"/>
        </w:rPr>
        <w:t xml:space="preserve"> , Scale</w:t>
      </w:r>
      <w:r>
        <w:rPr>
          <w:rFonts w:cstheme="minorHAnsi"/>
        </w:rPr>
        <w:t>)</w:t>
      </w:r>
    </w:p>
    <w:p w:rsidR="0024207B" w:rsidRDefault="0024207B" w:rsidP="0024207B">
      <w:r>
        <w:t xml:space="preserve">Since the experiment are carried out with a same set of students this can be considered as depended or paired data. </w:t>
      </w:r>
    </w:p>
    <w:p w:rsidR="0024207B" w:rsidRDefault="0024207B" w:rsidP="0024207B">
      <w:r>
        <w:t>Sample size of this experiment is 17.</w:t>
      </w:r>
    </w:p>
    <w:p w:rsidR="0024207B" w:rsidRDefault="0024207B" w:rsidP="0024207B">
      <w:r>
        <w:t xml:space="preserve">In the first section of the analysis Boxplot views of students belongs to two groups is presented, </w:t>
      </w:r>
      <w:r w:rsidR="00F84211">
        <w:t xml:space="preserve">in the second section descriptive statistics of the analysis is presented </w:t>
      </w:r>
    </w:p>
    <w:p w:rsidR="0024207B" w:rsidRPr="0024207B" w:rsidRDefault="0024207B" w:rsidP="0024207B"/>
    <w:p w:rsidR="00187495" w:rsidRDefault="001106F5">
      <w:pPr>
        <w:rPr>
          <w:b/>
        </w:rPr>
      </w:pPr>
      <w:r w:rsidRPr="00C75E3D">
        <w:rPr>
          <w:b/>
        </w:rPr>
        <w:t>Boxplot</w:t>
      </w:r>
    </w:p>
    <w:p w:rsidR="00025D73" w:rsidRDefault="00025D73">
      <w:r>
        <w:t xml:space="preserve">ñ 3 marks for each graph presented; </w:t>
      </w:r>
    </w:p>
    <w:p w:rsidR="00025D73" w:rsidRDefault="00025D73">
      <w:r>
        <w:t xml:space="preserve">ñ 4 marks for a correct comment/observation on each graph; </w:t>
      </w:r>
    </w:p>
    <w:p w:rsidR="00025D73" w:rsidRPr="00C75E3D" w:rsidRDefault="00025D73">
      <w:pPr>
        <w:rPr>
          <w:b/>
        </w:rPr>
      </w:pPr>
      <w:r>
        <w:t>ñ 4 marks for a correct comment/observation on the comparison between measurements.</w:t>
      </w:r>
    </w:p>
    <w:p w:rsidR="001106F5" w:rsidRDefault="001106F5">
      <w:pPr>
        <w:rPr>
          <w:noProof/>
          <w:lang w:eastAsia="en-IE"/>
        </w:rPr>
      </w:pPr>
      <w:r>
        <w:rPr>
          <w:noProof/>
          <w:lang w:eastAsia="en-IE"/>
        </w:rPr>
        <w:drawing>
          <wp:anchor distT="0" distB="0" distL="114300" distR="114300" simplePos="0" relativeHeight="251658240" behindDoc="1" locked="0" layoutInCell="1" allowOverlap="1" wp14:anchorId="0CE83B1B" wp14:editId="443031E2">
            <wp:simplePos x="0" y="0"/>
            <wp:positionH relativeFrom="margin">
              <wp:align>left</wp:align>
            </wp:positionH>
            <wp:positionV relativeFrom="paragraph">
              <wp:posOffset>190500</wp:posOffset>
            </wp:positionV>
            <wp:extent cx="4959961" cy="2943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Assesment 02 Boxplot.png"/>
                    <pic:cNvPicPr/>
                  </pic:nvPicPr>
                  <pic:blipFill>
                    <a:blip r:embed="rId5">
                      <a:extLst>
                        <a:ext uri="{28A0092B-C50C-407E-A947-70E740481C1C}">
                          <a14:useLocalDpi xmlns:a14="http://schemas.microsoft.com/office/drawing/2010/main" val="0"/>
                        </a:ext>
                      </a:extLst>
                    </a:blip>
                    <a:stretch>
                      <a:fillRect/>
                    </a:stretch>
                  </pic:blipFill>
                  <pic:spPr>
                    <a:xfrm>
                      <a:off x="0" y="0"/>
                      <a:ext cx="4959961" cy="2943225"/>
                    </a:xfrm>
                    <a:prstGeom prst="rect">
                      <a:avLst/>
                    </a:prstGeom>
                  </pic:spPr>
                </pic:pic>
              </a:graphicData>
            </a:graphic>
          </wp:anchor>
        </w:drawing>
      </w:r>
    </w:p>
    <w:p w:rsidR="001106F5" w:rsidRDefault="001106F5">
      <w:pPr>
        <w:rPr>
          <w:noProof/>
          <w:lang w:eastAsia="en-IE"/>
        </w:rPr>
      </w:pPr>
    </w:p>
    <w:p w:rsidR="001106F5" w:rsidRDefault="001106F5"/>
    <w:p w:rsidR="001106F5" w:rsidRPr="001106F5" w:rsidRDefault="001106F5" w:rsidP="001106F5"/>
    <w:p w:rsidR="001106F5" w:rsidRPr="001106F5" w:rsidRDefault="001106F5" w:rsidP="001106F5"/>
    <w:p w:rsidR="001106F5" w:rsidRPr="001106F5" w:rsidRDefault="001106F5" w:rsidP="001106F5"/>
    <w:p w:rsidR="001106F5" w:rsidRPr="001106F5" w:rsidRDefault="001106F5" w:rsidP="001106F5"/>
    <w:p w:rsidR="001106F5" w:rsidRPr="001106F5" w:rsidRDefault="001106F5" w:rsidP="001106F5"/>
    <w:p w:rsidR="001106F5" w:rsidRPr="001106F5" w:rsidRDefault="001106F5" w:rsidP="001106F5"/>
    <w:p w:rsidR="001106F5" w:rsidRPr="001106F5" w:rsidRDefault="001106F5" w:rsidP="001106F5"/>
    <w:p w:rsidR="001106F5" w:rsidRPr="001106F5" w:rsidRDefault="001106F5" w:rsidP="001106F5"/>
    <w:p w:rsidR="00025D73" w:rsidRDefault="00025D73" w:rsidP="001106F5">
      <w:r>
        <w:t xml:space="preserve">The boxplot of no visual aids is symmetrical at glance </w:t>
      </w:r>
      <w:r w:rsidR="00F84211">
        <w:t>which suggest that it’s normally distributed.  The mean of the students with visual aids is a value close to 60.</w:t>
      </w:r>
    </w:p>
    <w:p w:rsidR="00F84211" w:rsidRDefault="00F84211" w:rsidP="001106F5">
      <w:r>
        <w:t xml:space="preserve">The boxplot of the student with visual aid is shifted towards up than the box plot of student with no visual aids suggesting that there’s an improvement of the score when wearing visual aids. </w:t>
      </w:r>
    </w:p>
    <w:p w:rsidR="00F84211" w:rsidRDefault="00F84211" w:rsidP="001106F5"/>
    <w:p w:rsidR="00F84211" w:rsidRDefault="00F84211" w:rsidP="001106F5"/>
    <w:p w:rsidR="00F84211" w:rsidRDefault="00F84211" w:rsidP="001106F5"/>
    <w:p w:rsidR="00F84211" w:rsidRPr="00025D73" w:rsidRDefault="00F84211" w:rsidP="001106F5"/>
    <w:p w:rsidR="001106F5" w:rsidRPr="00C75E3D" w:rsidRDefault="001106F5" w:rsidP="001106F5">
      <w:pPr>
        <w:rPr>
          <w:b/>
        </w:rPr>
      </w:pPr>
      <w:r w:rsidRPr="00C75E3D">
        <w:rPr>
          <w:b/>
        </w:rPr>
        <w:lastRenderedPageBreak/>
        <w:t>Descriptive Statistics</w:t>
      </w:r>
    </w:p>
    <w:tbl>
      <w:tblPr>
        <w:tblStyle w:val="TableGrid"/>
        <w:tblW w:w="5314" w:type="dxa"/>
        <w:tblLook w:val="04A0" w:firstRow="1" w:lastRow="0" w:firstColumn="1" w:lastColumn="0" w:noHBand="0" w:noVBand="1"/>
      </w:tblPr>
      <w:tblGrid>
        <w:gridCol w:w="2441"/>
        <w:gridCol w:w="1540"/>
        <w:gridCol w:w="1333"/>
      </w:tblGrid>
      <w:tr w:rsidR="00C75E3D" w:rsidRPr="00C75E3D" w:rsidTr="00C75E3D">
        <w:trPr>
          <w:trHeight w:val="300"/>
        </w:trPr>
        <w:tc>
          <w:tcPr>
            <w:tcW w:w="2441" w:type="dxa"/>
            <w:noWrap/>
            <w:hideMark/>
          </w:tcPr>
          <w:p w:rsidR="00C75E3D" w:rsidRPr="00C75E3D" w:rsidRDefault="00C75E3D" w:rsidP="00C75E3D">
            <w:pPr>
              <w:rPr>
                <w:rFonts w:ascii="Lucida Console" w:eastAsia="Times New Roman" w:hAnsi="Lucida Console" w:cs="Calibri"/>
                <w:b/>
                <w:color w:val="000000"/>
                <w:sz w:val="20"/>
                <w:szCs w:val="20"/>
                <w:lang w:eastAsia="en-IE"/>
              </w:rPr>
            </w:pPr>
            <w:r w:rsidRPr="00C75E3D">
              <w:rPr>
                <w:rFonts w:ascii="Lucida Console" w:eastAsia="Times New Roman" w:hAnsi="Lucida Console" w:cs="Calibri"/>
                <w:b/>
                <w:color w:val="000000"/>
                <w:sz w:val="20"/>
                <w:szCs w:val="20"/>
                <w:lang w:eastAsia="en-IE"/>
              </w:rPr>
              <w:t>type</w:t>
            </w:r>
          </w:p>
        </w:tc>
        <w:tc>
          <w:tcPr>
            <w:tcW w:w="1540" w:type="dxa"/>
            <w:noWrap/>
            <w:hideMark/>
          </w:tcPr>
          <w:p w:rsidR="00C75E3D" w:rsidRPr="00C75E3D" w:rsidRDefault="00F84211" w:rsidP="00F84211">
            <w:pPr>
              <w:rPr>
                <w:rFonts w:ascii="Calibri" w:eastAsia="Times New Roman" w:hAnsi="Calibri" w:cs="Calibri"/>
                <w:b/>
                <w:color w:val="000000"/>
                <w:lang w:eastAsia="en-IE"/>
              </w:rPr>
            </w:pPr>
            <w:r w:rsidRPr="00F84211">
              <w:rPr>
                <w:rFonts w:ascii="Calibri" w:eastAsia="Times New Roman" w:hAnsi="Calibri" w:cs="Calibri"/>
                <w:b/>
                <w:color w:val="000000"/>
                <w:lang w:eastAsia="en-IE"/>
              </w:rPr>
              <w:t>Without visual aids</w:t>
            </w:r>
          </w:p>
        </w:tc>
        <w:tc>
          <w:tcPr>
            <w:tcW w:w="1333" w:type="dxa"/>
            <w:noWrap/>
            <w:hideMark/>
          </w:tcPr>
          <w:p w:rsidR="00C75E3D" w:rsidRPr="00C75E3D" w:rsidRDefault="00F84211" w:rsidP="00F84211">
            <w:pPr>
              <w:rPr>
                <w:rFonts w:ascii="Calibri" w:eastAsia="Times New Roman" w:hAnsi="Calibri" w:cs="Calibri"/>
                <w:b/>
                <w:color w:val="000000"/>
                <w:lang w:eastAsia="en-IE"/>
              </w:rPr>
            </w:pPr>
            <w:r w:rsidRPr="00F84211">
              <w:rPr>
                <w:rFonts w:ascii="Calibri" w:eastAsia="Times New Roman" w:hAnsi="Calibri" w:cs="Calibri"/>
                <w:b/>
                <w:color w:val="000000"/>
                <w:lang w:eastAsia="en-IE"/>
              </w:rPr>
              <w:t>With visual aids</w:t>
            </w:r>
          </w:p>
        </w:tc>
      </w:tr>
      <w:tr w:rsidR="00C75E3D" w:rsidRPr="00C75E3D" w:rsidTr="00C75E3D">
        <w:trPr>
          <w:trHeight w:val="300"/>
        </w:trPr>
        <w:tc>
          <w:tcPr>
            <w:tcW w:w="2441" w:type="dxa"/>
            <w:noWrap/>
            <w:hideMark/>
          </w:tcPr>
          <w:p w:rsidR="00C75E3D" w:rsidRPr="00C75E3D" w:rsidRDefault="00C75E3D" w:rsidP="00C75E3D">
            <w:pPr>
              <w:rPr>
                <w:rFonts w:ascii="Lucida Console" w:eastAsia="Times New Roman" w:hAnsi="Lucida Console" w:cs="Calibri"/>
                <w:color w:val="000000"/>
                <w:sz w:val="20"/>
                <w:szCs w:val="20"/>
                <w:lang w:eastAsia="en-IE"/>
              </w:rPr>
            </w:pPr>
            <w:r w:rsidRPr="00C75E3D">
              <w:rPr>
                <w:rFonts w:ascii="Lucida Console" w:eastAsia="Times New Roman" w:hAnsi="Lucida Console" w:cs="Calibri"/>
                <w:color w:val="000000"/>
                <w:sz w:val="20"/>
                <w:szCs w:val="20"/>
                <w:lang w:eastAsia="en-IE"/>
              </w:rPr>
              <w:t>Sample size</w:t>
            </w:r>
          </w:p>
        </w:tc>
        <w:tc>
          <w:tcPr>
            <w:tcW w:w="1540" w:type="dxa"/>
            <w:noWrap/>
            <w:hideMark/>
          </w:tcPr>
          <w:p w:rsidR="00C75E3D" w:rsidRPr="00C75E3D" w:rsidRDefault="00C75E3D" w:rsidP="00C75E3D">
            <w:pPr>
              <w:rPr>
                <w:rFonts w:ascii="Calibri" w:eastAsia="Times New Roman" w:hAnsi="Calibri" w:cs="Calibri"/>
                <w:color w:val="000000"/>
                <w:lang w:eastAsia="en-IE"/>
              </w:rPr>
            </w:pPr>
            <w:r w:rsidRPr="00C75E3D">
              <w:rPr>
                <w:rFonts w:ascii="Calibri" w:eastAsia="Times New Roman" w:hAnsi="Calibri" w:cs="Calibri"/>
                <w:color w:val="000000"/>
                <w:lang w:eastAsia="en-IE"/>
              </w:rPr>
              <w:t>"17"</w:t>
            </w:r>
          </w:p>
        </w:tc>
        <w:tc>
          <w:tcPr>
            <w:tcW w:w="1333" w:type="dxa"/>
            <w:noWrap/>
            <w:hideMark/>
          </w:tcPr>
          <w:p w:rsidR="00C75E3D" w:rsidRPr="00C75E3D" w:rsidRDefault="00C75E3D" w:rsidP="00C75E3D">
            <w:pPr>
              <w:rPr>
                <w:rFonts w:ascii="Calibri" w:eastAsia="Times New Roman" w:hAnsi="Calibri" w:cs="Calibri"/>
                <w:color w:val="000000"/>
                <w:lang w:eastAsia="en-IE"/>
              </w:rPr>
            </w:pPr>
            <w:r w:rsidRPr="00C75E3D">
              <w:rPr>
                <w:rFonts w:ascii="Calibri" w:eastAsia="Times New Roman" w:hAnsi="Calibri" w:cs="Calibri"/>
                <w:color w:val="000000"/>
                <w:lang w:eastAsia="en-IE"/>
              </w:rPr>
              <w:t>"17"</w:t>
            </w:r>
          </w:p>
        </w:tc>
      </w:tr>
      <w:tr w:rsidR="00C75E3D" w:rsidRPr="00C75E3D" w:rsidTr="00C75E3D">
        <w:trPr>
          <w:trHeight w:val="300"/>
        </w:trPr>
        <w:tc>
          <w:tcPr>
            <w:tcW w:w="2441" w:type="dxa"/>
            <w:noWrap/>
            <w:hideMark/>
          </w:tcPr>
          <w:p w:rsidR="00C75E3D" w:rsidRPr="00C75E3D" w:rsidRDefault="00C75E3D" w:rsidP="00C75E3D">
            <w:pPr>
              <w:rPr>
                <w:rFonts w:ascii="Lucida Console" w:eastAsia="Times New Roman" w:hAnsi="Lucida Console" w:cs="Calibri"/>
                <w:color w:val="000000"/>
                <w:sz w:val="20"/>
                <w:szCs w:val="20"/>
                <w:lang w:eastAsia="en-IE"/>
              </w:rPr>
            </w:pPr>
            <w:r w:rsidRPr="00C75E3D">
              <w:rPr>
                <w:rFonts w:ascii="Lucida Console" w:eastAsia="Times New Roman" w:hAnsi="Lucida Console" w:cs="Calibri"/>
                <w:color w:val="000000"/>
                <w:sz w:val="20"/>
                <w:szCs w:val="20"/>
                <w:lang w:eastAsia="en-IE"/>
              </w:rPr>
              <w:t>Mean</w:t>
            </w:r>
          </w:p>
        </w:tc>
        <w:tc>
          <w:tcPr>
            <w:tcW w:w="1540" w:type="dxa"/>
            <w:noWrap/>
            <w:hideMark/>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"46.941</w:t>
            </w:r>
            <w:r w:rsidRPr="00C75E3D">
              <w:rPr>
                <w:rFonts w:ascii="Calibri" w:eastAsia="Times New Roman" w:hAnsi="Calibri" w:cs="Calibri"/>
                <w:color w:val="000000"/>
                <w:lang w:eastAsia="en-IE"/>
              </w:rPr>
              <w:t>"</w:t>
            </w:r>
          </w:p>
        </w:tc>
        <w:tc>
          <w:tcPr>
            <w:tcW w:w="1333" w:type="dxa"/>
            <w:noWrap/>
            <w:hideMark/>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"57.647</w:t>
            </w:r>
            <w:r w:rsidRPr="00C75E3D">
              <w:rPr>
                <w:rFonts w:ascii="Calibri" w:eastAsia="Times New Roman" w:hAnsi="Calibri" w:cs="Calibri"/>
                <w:color w:val="000000"/>
                <w:lang w:eastAsia="en-IE"/>
              </w:rPr>
              <w:t>"</w:t>
            </w:r>
          </w:p>
        </w:tc>
      </w:tr>
      <w:tr w:rsidR="00C75E3D" w:rsidRPr="00C75E3D" w:rsidTr="00C75E3D">
        <w:trPr>
          <w:trHeight w:val="300"/>
        </w:trPr>
        <w:tc>
          <w:tcPr>
            <w:tcW w:w="2441" w:type="dxa"/>
            <w:noWrap/>
            <w:hideMark/>
          </w:tcPr>
          <w:p w:rsidR="00C75E3D" w:rsidRPr="00C75E3D" w:rsidRDefault="00C75E3D" w:rsidP="00C75E3D">
            <w:pPr>
              <w:rPr>
                <w:rFonts w:ascii="Lucida Console" w:eastAsia="Times New Roman" w:hAnsi="Lucida Console" w:cs="Calibri"/>
                <w:color w:val="000000"/>
                <w:sz w:val="20"/>
                <w:szCs w:val="20"/>
                <w:lang w:eastAsia="en-IE"/>
              </w:rPr>
            </w:pPr>
            <w:r w:rsidRPr="00C75E3D">
              <w:rPr>
                <w:rFonts w:ascii="Lucida Console" w:eastAsia="Times New Roman" w:hAnsi="Lucida Console" w:cs="Calibri"/>
                <w:color w:val="000000"/>
                <w:sz w:val="20"/>
                <w:szCs w:val="20"/>
                <w:lang w:eastAsia="en-IE"/>
              </w:rPr>
              <w:t>Median</w:t>
            </w:r>
          </w:p>
        </w:tc>
        <w:tc>
          <w:tcPr>
            <w:tcW w:w="1540" w:type="dxa"/>
            <w:noWrap/>
            <w:hideMark/>
          </w:tcPr>
          <w:p w:rsidR="00C75E3D" w:rsidRPr="00C75E3D" w:rsidRDefault="00C75E3D" w:rsidP="00C75E3D">
            <w:pPr>
              <w:rPr>
                <w:rFonts w:ascii="Calibri" w:eastAsia="Times New Roman" w:hAnsi="Calibri" w:cs="Calibri"/>
                <w:color w:val="000000"/>
                <w:lang w:eastAsia="en-IE"/>
              </w:rPr>
            </w:pPr>
            <w:r w:rsidRPr="00C75E3D">
              <w:rPr>
                <w:rFonts w:ascii="Calibri" w:eastAsia="Times New Roman" w:hAnsi="Calibri" w:cs="Calibri"/>
                <w:color w:val="000000"/>
                <w:lang w:eastAsia="en-IE"/>
              </w:rPr>
              <w:t>"49"</w:t>
            </w:r>
          </w:p>
        </w:tc>
        <w:tc>
          <w:tcPr>
            <w:tcW w:w="1333" w:type="dxa"/>
            <w:noWrap/>
            <w:hideMark/>
          </w:tcPr>
          <w:p w:rsidR="00C75E3D" w:rsidRPr="00C75E3D" w:rsidRDefault="00C75E3D" w:rsidP="00C75E3D">
            <w:pPr>
              <w:rPr>
                <w:rFonts w:ascii="Calibri" w:eastAsia="Times New Roman" w:hAnsi="Calibri" w:cs="Calibri"/>
                <w:color w:val="000000"/>
                <w:lang w:eastAsia="en-IE"/>
              </w:rPr>
            </w:pPr>
            <w:r w:rsidRPr="00C75E3D">
              <w:rPr>
                <w:rFonts w:ascii="Calibri" w:eastAsia="Times New Roman" w:hAnsi="Calibri" w:cs="Calibri"/>
                <w:color w:val="000000"/>
                <w:lang w:eastAsia="en-IE"/>
              </w:rPr>
              <w:t>"60"</w:t>
            </w:r>
          </w:p>
        </w:tc>
      </w:tr>
      <w:tr w:rsidR="00C75E3D" w:rsidRPr="00C75E3D" w:rsidTr="00C75E3D">
        <w:trPr>
          <w:trHeight w:val="300"/>
        </w:trPr>
        <w:tc>
          <w:tcPr>
            <w:tcW w:w="2441" w:type="dxa"/>
            <w:noWrap/>
          </w:tcPr>
          <w:p w:rsidR="00C75E3D" w:rsidRPr="00C75E3D" w:rsidRDefault="00C75E3D" w:rsidP="00C75E3D">
            <w:pPr>
              <w:rPr>
                <w:rFonts w:ascii="Lucida Console" w:eastAsia="Times New Roman" w:hAnsi="Lucida Console" w:cs="Calibri"/>
                <w:color w:val="000000"/>
                <w:sz w:val="20"/>
                <w:szCs w:val="20"/>
                <w:lang w:eastAsia="en-IE"/>
              </w:rPr>
            </w:pPr>
            <w:r>
              <w:rPr>
                <w:rFonts w:ascii="Lucida Console" w:eastAsia="Times New Roman" w:hAnsi="Lucida Console" w:cs="Calibri"/>
                <w:color w:val="000000"/>
                <w:sz w:val="20"/>
                <w:szCs w:val="20"/>
                <w:lang w:eastAsia="en-IE"/>
              </w:rPr>
              <w:t>Min</w:t>
            </w:r>
          </w:p>
        </w:tc>
        <w:tc>
          <w:tcPr>
            <w:tcW w:w="1540" w:type="dxa"/>
            <w:noWrap/>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25</w:t>
            </w:r>
          </w:p>
        </w:tc>
        <w:tc>
          <w:tcPr>
            <w:tcW w:w="1333" w:type="dxa"/>
            <w:noWrap/>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29</w:t>
            </w:r>
          </w:p>
        </w:tc>
      </w:tr>
      <w:tr w:rsidR="00C75E3D" w:rsidRPr="00C75E3D" w:rsidTr="00C75E3D">
        <w:trPr>
          <w:trHeight w:val="300"/>
        </w:trPr>
        <w:tc>
          <w:tcPr>
            <w:tcW w:w="2441" w:type="dxa"/>
            <w:noWrap/>
          </w:tcPr>
          <w:p w:rsidR="00C75E3D" w:rsidRPr="00C75E3D" w:rsidRDefault="00C75E3D" w:rsidP="00C75E3D">
            <w:pPr>
              <w:rPr>
                <w:rFonts w:ascii="Lucida Console" w:eastAsia="Times New Roman" w:hAnsi="Lucida Console" w:cs="Calibri"/>
                <w:color w:val="000000"/>
                <w:sz w:val="20"/>
                <w:szCs w:val="20"/>
                <w:lang w:eastAsia="en-IE"/>
              </w:rPr>
            </w:pPr>
            <w:r>
              <w:rPr>
                <w:rFonts w:ascii="Lucida Console" w:eastAsia="Times New Roman" w:hAnsi="Lucida Console" w:cs="Calibri"/>
                <w:color w:val="000000"/>
                <w:sz w:val="20"/>
                <w:szCs w:val="20"/>
                <w:lang w:eastAsia="en-IE"/>
              </w:rPr>
              <w:t>Max</w:t>
            </w:r>
          </w:p>
        </w:tc>
        <w:tc>
          <w:tcPr>
            <w:tcW w:w="1540" w:type="dxa"/>
            <w:noWrap/>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72</w:t>
            </w:r>
          </w:p>
        </w:tc>
        <w:tc>
          <w:tcPr>
            <w:tcW w:w="1333" w:type="dxa"/>
            <w:noWrap/>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80</w:t>
            </w:r>
          </w:p>
        </w:tc>
      </w:tr>
      <w:tr w:rsidR="00C75E3D" w:rsidRPr="00C75E3D" w:rsidTr="00C75E3D">
        <w:trPr>
          <w:trHeight w:val="300"/>
        </w:trPr>
        <w:tc>
          <w:tcPr>
            <w:tcW w:w="2441" w:type="dxa"/>
            <w:noWrap/>
            <w:hideMark/>
          </w:tcPr>
          <w:p w:rsidR="00C75E3D" w:rsidRPr="00C75E3D" w:rsidRDefault="00C75E3D" w:rsidP="00C75E3D">
            <w:pPr>
              <w:rPr>
                <w:rFonts w:ascii="Lucida Console" w:eastAsia="Times New Roman" w:hAnsi="Lucida Console" w:cs="Calibri"/>
                <w:color w:val="000000"/>
                <w:sz w:val="20"/>
                <w:szCs w:val="20"/>
                <w:lang w:eastAsia="en-IE"/>
              </w:rPr>
            </w:pPr>
            <w:r w:rsidRPr="00C75E3D">
              <w:rPr>
                <w:rFonts w:ascii="Lucida Console" w:eastAsia="Times New Roman" w:hAnsi="Lucida Console" w:cs="Calibri"/>
                <w:color w:val="000000"/>
                <w:sz w:val="20"/>
                <w:szCs w:val="20"/>
                <w:lang w:eastAsia="en-IE"/>
              </w:rPr>
              <w:t>Skewness</w:t>
            </w:r>
          </w:p>
        </w:tc>
        <w:tc>
          <w:tcPr>
            <w:tcW w:w="1540" w:type="dxa"/>
            <w:noWrap/>
            <w:hideMark/>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"-0.081</w:t>
            </w:r>
            <w:r w:rsidRPr="00C75E3D">
              <w:rPr>
                <w:rFonts w:ascii="Calibri" w:eastAsia="Times New Roman" w:hAnsi="Calibri" w:cs="Calibri"/>
                <w:color w:val="000000"/>
                <w:lang w:eastAsia="en-IE"/>
              </w:rPr>
              <w:t>"</w:t>
            </w:r>
          </w:p>
        </w:tc>
        <w:tc>
          <w:tcPr>
            <w:tcW w:w="1333" w:type="dxa"/>
            <w:noWrap/>
            <w:hideMark/>
          </w:tcPr>
          <w:p w:rsidR="00C75E3D" w:rsidRPr="00C75E3D" w:rsidRDefault="00C75E3D" w:rsidP="00C75E3D">
            <w:pPr>
              <w:rPr>
                <w:rFonts w:ascii="Calibri" w:eastAsia="Times New Roman" w:hAnsi="Calibri" w:cs="Calibri"/>
                <w:color w:val="000000"/>
                <w:lang w:eastAsia="en-IE"/>
              </w:rPr>
            </w:pPr>
            <w:r>
              <w:rPr>
                <w:rFonts w:ascii="Calibri" w:eastAsia="Times New Roman" w:hAnsi="Calibri" w:cs="Calibri"/>
                <w:color w:val="000000"/>
                <w:lang w:eastAsia="en-IE"/>
              </w:rPr>
              <w:t>"-0.463</w:t>
            </w:r>
            <w:r w:rsidRPr="00C75E3D">
              <w:rPr>
                <w:rFonts w:ascii="Calibri" w:eastAsia="Times New Roman" w:hAnsi="Calibri" w:cs="Calibri"/>
                <w:color w:val="000000"/>
                <w:lang w:eastAsia="en-IE"/>
              </w:rPr>
              <w:t>"</w:t>
            </w:r>
          </w:p>
        </w:tc>
      </w:tr>
      <w:tr w:rsidR="00C75E3D" w:rsidRPr="00C75E3D" w:rsidTr="00C75E3D">
        <w:trPr>
          <w:trHeight w:val="300"/>
        </w:trPr>
        <w:tc>
          <w:tcPr>
            <w:tcW w:w="2441" w:type="dxa"/>
            <w:noWrap/>
            <w:hideMark/>
          </w:tcPr>
          <w:p w:rsidR="00C75E3D" w:rsidRPr="00C75E3D" w:rsidRDefault="00C75E3D" w:rsidP="00C75E3D">
            <w:pPr>
              <w:rPr>
                <w:rFonts w:ascii="Lucida Console" w:eastAsia="Times New Roman" w:hAnsi="Lucida Console" w:cs="Calibri"/>
                <w:color w:val="000000"/>
                <w:sz w:val="20"/>
                <w:szCs w:val="20"/>
                <w:lang w:eastAsia="en-IE"/>
              </w:rPr>
            </w:pPr>
            <w:r w:rsidRPr="00C75E3D">
              <w:rPr>
                <w:rFonts w:ascii="Lucida Console" w:eastAsia="Times New Roman" w:hAnsi="Lucida Console" w:cs="Calibri"/>
                <w:color w:val="000000"/>
                <w:sz w:val="20"/>
                <w:szCs w:val="20"/>
                <w:lang w:eastAsia="en-IE"/>
              </w:rPr>
              <w:t>Normally distributed</w:t>
            </w:r>
          </w:p>
        </w:tc>
        <w:tc>
          <w:tcPr>
            <w:tcW w:w="1540" w:type="dxa"/>
            <w:noWrap/>
            <w:hideMark/>
          </w:tcPr>
          <w:p w:rsidR="00C75E3D" w:rsidRPr="00C75E3D" w:rsidRDefault="00C75E3D" w:rsidP="00C75E3D">
            <w:pPr>
              <w:rPr>
                <w:rFonts w:ascii="Calibri" w:eastAsia="Times New Roman" w:hAnsi="Calibri" w:cs="Calibri"/>
                <w:color w:val="000000"/>
                <w:lang w:eastAsia="en-IE"/>
              </w:rPr>
            </w:pPr>
            <w:r w:rsidRPr="00C75E3D">
              <w:rPr>
                <w:rFonts w:ascii="Calibri" w:eastAsia="Times New Roman" w:hAnsi="Calibri" w:cs="Calibri"/>
                <w:color w:val="000000"/>
                <w:lang w:eastAsia="en-IE"/>
              </w:rPr>
              <w:t>"Yes"</w:t>
            </w:r>
          </w:p>
        </w:tc>
        <w:tc>
          <w:tcPr>
            <w:tcW w:w="1333" w:type="dxa"/>
            <w:noWrap/>
            <w:hideMark/>
          </w:tcPr>
          <w:p w:rsidR="00C75E3D" w:rsidRPr="00C75E3D" w:rsidRDefault="00C75E3D" w:rsidP="00C75E3D">
            <w:pPr>
              <w:rPr>
                <w:rFonts w:ascii="Calibri" w:eastAsia="Times New Roman" w:hAnsi="Calibri" w:cs="Calibri"/>
                <w:color w:val="000000"/>
                <w:lang w:eastAsia="en-IE"/>
              </w:rPr>
            </w:pPr>
            <w:r w:rsidRPr="00C75E3D">
              <w:rPr>
                <w:rFonts w:ascii="Calibri" w:eastAsia="Times New Roman" w:hAnsi="Calibri" w:cs="Calibri"/>
                <w:color w:val="000000"/>
                <w:lang w:eastAsia="en-IE"/>
              </w:rPr>
              <w:t>"Yes"</w:t>
            </w:r>
          </w:p>
        </w:tc>
      </w:tr>
    </w:tbl>
    <w:p w:rsidR="001106F5" w:rsidRDefault="001106F5" w:rsidP="001106F5"/>
    <w:p w:rsidR="001106F5" w:rsidRDefault="000913C5" w:rsidP="000913C5">
      <w:r>
        <w:t>Shapiro Wilk test</w:t>
      </w:r>
      <w:r>
        <w:t xml:space="preserve"> suggest that both the distributions are normally distributed. (Skewness, mean and median supports that claim)</w:t>
      </w:r>
    </w:p>
    <w:p w:rsidR="000913C5" w:rsidRDefault="000913C5" w:rsidP="000913C5">
      <w:pPr>
        <w:rPr>
          <w:rFonts w:cstheme="minorHAnsi"/>
        </w:rPr>
      </w:pPr>
      <w:r>
        <w:rPr>
          <w:rFonts w:cstheme="minorHAnsi"/>
        </w:rPr>
        <w:t xml:space="preserve">Since the samples are normally distributed a best measure to describe centrality is mean and variance is the standard deviation. </w:t>
      </w:r>
    </w:p>
    <w:p w:rsidR="000913C5" w:rsidRDefault="000913C5" w:rsidP="000913C5">
      <w:pPr>
        <w:rPr>
          <w:rFonts w:cstheme="minorHAnsi"/>
        </w:rPr>
      </w:pPr>
      <w:r>
        <w:rPr>
          <w:rFonts w:cstheme="minorHAnsi"/>
        </w:rPr>
        <w:t xml:space="preserve">In the first column we can say that mean is roughly equal to median, and in the second column it’s doubtful. </w:t>
      </w:r>
    </w:p>
    <w:p w:rsidR="000913C5" w:rsidRDefault="000913C5" w:rsidP="000913C5">
      <w:pPr>
        <w:rPr>
          <w:rFonts w:cstheme="minorHAnsi"/>
        </w:rPr>
      </w:pPr>
      <w:r>
        <w:rPr>
          <w:rFonts w:cstheme="minorHAnsi"/>
        </w:rPr>
        <w:t xml:space="preserve">Since the both groups are normally distributed and the experiment data can be paired (dependent) the correct test to validate the claim is related T test. </w:t>
      </w:r>
    </w:p>
    <w:p w:rsidR="000913C5" w:rsidRDefault="000913C5" w:rsidP="000913C5"/>
    <w:p w:rsidR="00C75E3D" w:rsidRDefault="00C75E3D" w:rsidP="00C75E3D">
      <w:pPr>
        <w:rPr>
          <w:b/>
        </w:rPr>
      </w:pPr>
      <w:r>
        <w:rPr>
          <w:b/>
        </w:rPr>
        <w:t>Statistical</w:t>
      </w:r>
      <w:r w:rsidRPr="00C75E3D">
        <w:rPr>
          <w:b/>
        </w:rPr>
        <w:t xml:space="preserve"> </w:t>
      </w:r>
      <w:r>
        <w:rPr>
          <w:b/>
        </w:rPr>
        <w:t>Inference</w:t>
      </w:r>
    </w:p>
    <w:p w:rsidR="00C75E3D" w:rsidRDefault="00C75E3D" w:rsidP="00C75E3D">
      <w:pPr>
        <w:rPr>
          <w:b/>
        </w:rPr>
      </w:pPr>
    </w:p>
    <w:tbl>
      <w:tblPr>
        <w:tblStyle w:val="TableGrid"/>
        <w:tblW w:w="0" w:type="auto"/>
        <w:tblLook w:val="04A0" w:firstRow="1" w:lastRow="0" w:firstColumn="1" w:lastColumn="0" w:noHBand="0" w:noVBand="1"/>
      </w:tblPr>
      <w:tblGrid>
        <w:gridCol w:w="1838"/>
        <w:gridCol w:w="1559"/>
      </w:tblGrid>
      <w:tr w:rsidR="00C75E3D" w:rsidTr="00C75E3D">
        <w:tc>
          <w:tcPr>
            <w:tcW w:w="1838" w:type="dxa"/>
          </w:tcPr>
          <w:p w:rsidR="00C75E3D" w:rsidRPr="00C75E3D" w:rsidRDefault="00C75E3D" w:rsidP="00C75E3D"/>
        </w:tc>
        <w:tc>
          <w:tcPr>
            <w:tcW w:w="1559" w:type="dxa"/>
          </w:tcPr>
          <w:p w:rsidR="00C75E3D" w:rsidRPr="00C75E3D" w:rsidRDefault="00C75E3D" w:rsidP="00C75E3D"/>
        </w:tc>
      </w:tr>
      <w:tr w:rsidR="00C75E3D" w:rsidTr="00C75E3D">
        <w:tc>
          <w:tcPr>
            <w:tcW w:w="1838" w:type="dxa"/>
          </w:tcPr>
          <w:p w:rsidR="00C75E3D" w:rsidRPr="00C75E3D" w:rsidRDefault="00C75E3D" w:rsidP="00C75E3D">
            <w:r w:rsidRPr="00C75E3D">
              <w:t>Mean Difference</w:t>
            </w:r>
          </w:p>
        </w:tc>
        <w:tc>
          <w:tcPr>
            <w:tcW w:w="1559" w:type="dxa"/>
          </w:tcPr>
          <w:p w:rsidR="00C75E3D" w:rsidRPr="00C75E3D" w:rsidRDefault="00C75E3D" w:rsidP="00C75E3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10.7</w:t>
            </w:r>
            <w:r>
              <w:rPr>
                <w:rStyle w:val="gd15mcfceub"/>
                <w:rFonts w:ascii="Lucida Console" w:hAnsi="Lucida Console"/>
                <w:color w:val="000000"/>
                <w:bdr w:val="none" w:sz="0" w:space="0" w:color="auto" w:frame="1"/>
              </w:rPr>
              <w:t>1</w:t>
            </w:r>
          </w:p>
        </w:tc>
      </w:tr>
      <w:tr w:rsidR="00C75E3D" w:rsidTr="00C75E3D">
        <w:tc>
          <w:tcPr>
            <w:tcW w:w="1838" w:type="dxa"/>
          </w:tcPr>
          <w:p w:rsidR="00C75E3D" w:rsidRPr="00C75E3D" w:rsidRDefault="00C75E3D" w:rsidP="00C75E3D">
            <w:r w:rsidRPr="00C75E3D">
              <w:t>95% CI (Upper)</w:t>
            </w:r>
          </w:p>
        </w:tc>
        <w:tc>
          <w:tcPr>
            <w:tcW w:w="1559" w:type="dxa"/>
          </w:tcPr>
          <w:p w:rsidR="00C75E3D" w:rsidRPr="00C75E3D" w:rsidRDefault="00C75E3D" w:rsidP="00C75E3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17.8</w:t>
            </w:r>
            <w:r>
              <w:rPr>
                <w:rStyle w:val="gd15mcfceub"/>
                <w:rFonts w:ascii="Lucida Console" w:hAnsi="Lucida Console"/>
                <w:color w:val="000000"/>
                <w:bdr w:val="none" w:sz="0" w:space="0" w:color="auto" w:frame="1"/>
              </w:rPr>
              <w:t>6</w:t>
            </w:r>
          </w:p>
        </w:tc>
      </w:tr>
      <w:tr w:rsidR="00C75E3D" w:rsidTr="00C75E3D">
        <w:tc>
          <w:tcPr>
            <w:tcW w:w="1838" w:type="dxa"/>
          </w:tcPr>
          <w:p w:rsidR="00C75E3D" w:rsidRPr="00C75E3D" w:rsidRDefault="00C75E3D" w:rsidP="00C75E3D">
            <w:r w:rsidRPr="00C75E3D">
              <w:t>95% CI (</w:t>
            </w:r>
            <w:r w:rsidRPr="00C75E3D">
              <w:t>Lower</w:t>
            </w:r>
            <w:r w:rsidRPr="00C75E3D">
              <w:t>)</w:t>
            </w:r>
          </w:p>
        </w:tc>
        <w:tc>
          <w:tcPr>
            <w:tcW w:w="1559" w:type="dxa"/>
          </w:tcPr>
          <w:p w:rsidR="00C75E3D" w:rsidRPr="00C75E3D" w:rsidRDefault="00C75E3D" w:rsidP="00C75E3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w:t>
            </w:r>
            <w:r>
              <w:rPr>
                <w:rStyle w:val="gd15mcfceub"/>
                <w:rFonts w:ascii="Lucida Console" w:hAnsi="Lucida Console"/>
                <w:color w:val="000000"/>
                <w:bdr w:val="none" w:sz="0" w:space="0" w:color="auto" w:frame="1"/>
              </w:rPr>
              <w:t>6</w:t>
            </w:r>
          </w:p>
        </w:tc>
      </w:tr>
      <w:tr w:rsidR="00C75E3D" w:rsidRPr="00C75E3D" w:rsidTr="00C75E3D">
        <w:tc>
          <w:tcPr>
            <w:tcW w:w="1838" w:type="dxa"/>
          </w:tcPr>
          <w:p w:rsidR="00C75E3D" w:rsidRPr="00C75E3D" w:rsidRDefault="00C75E3D" w:rsidP="00C75E3D">
            <w:r>
              <w:t>p-value</w:t>
            </w:r>
          </w:p>
        </w:tc>
        <w:tc>
          <w:tcPr>
            <w:tcW w:w="1559" w:type="dxa"/>
          </w:tcPr>
          <w:p w:rsidR="00C75E3D" w:rsidRPr="00C75E3D" w:rsidRDefault="00C75E3D" w:rsidP="00C75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E"/>
              </w:rPr>
            </w:pPr>
            <w:r>
              <w:rPr>
                <w:rFonts w:ascii="Lucida Console" w:eastAsia="Times New Roman" w:hAnsi="Lucida Console" w:cs="Courier New"/>
                <w:color w:val="000000"/>
                <w:sz w:val="20"/>
                <w:szCs w:val="20"/>
                <w:bdr w:val="none" w:sz="0" w:space="0" w:color="auto" w:frame="1"/>
                <w:lang w:eastAsia="en-IE"/>
              </w:rPr>
              <w:t>0.0059</w:t>
            </w:r>
          </w:p>
        </w:tc>
      </w:tr>
      <w:tr w:rsidR="00C75E3D" w:rsidRPr="00C75E3D" w:rsidTr="00C75E3D">
        <w:tc>
          <w:tcPr>
            <w:tcW w:w="1838" w:type="dxa"/>
          </w:tcPr>
          <w:p w:rsidR="00C75E3D" w:rsidRPr="00C75E3D" w:rsidRDefault="00C75E3D" w:rsidP="00C75E3D">
            <w:r>
              <w:t>Effect Size</w:t>
            </w:r>
          </w:p>
        </w:tc>
        <w:tc>
          <w:tcPr>
            <w:tcW w:w="1559" w:type="dxa"/>
          </w:tcPr>
          <w:p w:rsidR="00C75E3D" w:rsidRPr="00C75E3D" w:rsidRDefault="00C75E3D" w:rsidP="00C75E3D">
            <w:r>
              <w:t>0.803</w:t>
            </w:r>
          </w:p>
        </w:tc>
      </w:tr>
    </w:tbl>
    <w:p w:rsidR="00C75E3D" w:rsidRPr="00C75E3D" w:rsidRDefault="00C75E3D" w:rsidP="00C75E3D"/>
    <w:p w:rsidR="00464381" w:rsidRDefault="00464381" w:rsidP="001106F5">
      <w:pPr>
        <w:tabs>
          <w:tab w:val="left" w:pos="915"/>
        </w:tabs>
      </w:pPr>
      <w:r>
        <w:t>Null Hypothesis: There’s no difference in the population mean of student use visual aids and student don’t use visual aids.</w:t>
      </w:r>
    </w:p>
    <w:p w:rsidR="001106F5" w:rsidRDefault="00464381" w:rsidP="001106F5">
      <w:pPr>
        <w:tabs>
          <w:tab w:val="left" w:pos="915"/>
        </w:tabs>
      </w:pPr>
      <w:r>
        <w:t xml:space="preserve">Alternate Hypothesis: </w:t>
      </w:r>
      <w:r w:rsidR="001106F5">
        <w:tab/>
      </w:r>
      <w:r>
        <w:t xml:space="preserve">A different exists between these two population means. </w:t>
      </w:r>
    </w:p>
    <w:p w:rsidR="001106F5" w:rsidRDefault="001106F5" w:rsidP="001106F5">
      <w:pPr>
        <w:tabs>
          <w:tab w:val="left" w:pos="915"/>
        </w:tabs>
      </w:pPr>
    </w:p>
    <w:p w:rsidR="00C4047D" w:rsidRDefault="00464381" w:rsidP="001106F5">
      <w:pPr>
        <w:tabs>
          <w:tab w:val="left" w:pos="915"/>
        </w:tabs>
      </w:pPr>
      <w:r>
        <w:t>p-value (0.0059) &lt; level of significance (0.05)</w:t>
      </w:r>
      <w:r w:rsidR="00C4047D">
        <w:t xml:space="preserve"> </w:t>
      </w:r>
    </w:p>
    <w:p w:rsidR="00464381" w:rsidRDefault="00C4047D" w:rsidP="001106F5">
      <w:pPr>
        <w:tabs>
          <w:tab w:val="left" w:pos="915"/>
        </w:tabs>
      </w:pPr>
      <w:r>
        <w:t xml:space="preserve">So we can reject the null hypothesis where a probability of making a type 1 error is less than 0.05. </w:t>
      </w:r>
    </w:p>
    <w:p w:rsidR="00C4047D" w:rsidRDefault="00C4047D" w:rsidP="001106F5">
      <w:pPr>
        <w:tabs>
          <w:tab w:val="left" w:pos="915"/>
        </w:tabs>
      </w:pPr>
      <w:r>
        <w:t>This suggest that a mean difference of 10.71 was found to be statistically significant. (ES: 0.803, 95% CI [3.56</w:t>
      </w:r>
      <w:r>
        <w:t xml:space="preserve">, </w:t>
      </w:r>
      <w:r>
        <w:t>17.86</w:t>
      </w:r>
      <w:r>
        <w:t>]).</w:t>
      </w:r>
      <w:r>
        <w:t xml:space="preserve"> </w:t>
      </w:r>
    </w:p>
    <w:p w:rsidR="00464381" w:rsidRDefault="00464381" w:rsidP="001106F5">
      <w:pPr>
        <w:tabs>
          <w:tab w:val="left" w:pos="915"/>
        </w:tabs>
      </w:pPr>
    </w:p>
    <w:p w:rsidR="00C4047D" w:rsidRDefault="00C4047D" w:rsidP="001106F5">
      <w:pPr>
        <w:tabs>
          <w:tab w:val="left" w:pos="915"/>
        </w:tabs>
      </w:pPr>
      <w:r>
        <w:lastRenderedPageBreak/>
        <w:t xml:space="preserve">Based on a sample of 17 students with visual aids and same students without visual aids, we are 95% confident that the mean difference (with visual aids – without visual aids) in quality lies between [3.65, 17.86]. The interval is always positive. This suggest that wearing visual aids make student to score more always. </w:t>
      </w:r>
      <w:bookmarkStart w:id="0" w:name="_GoBack"/>
      <w:bookmarkEnd w:id="0"/>
    </w:p>
    <w:sectPr w:rsidR="00C4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74D27"/>
    <w:multiLevelType w:val="hybridMultilevel"/>
    <w:tmpl w:val="6B921C4A"/>
    <w:lvl w:ilvl="0" w:tplc="7520A73E">
      <w:start w:val="1"/>
      <w:numFmt w:val="decimal"/>
      <w:lvlText w:val="%1."/>
      <w:lvlJc w:val="left"/>
      <w:pPr>
        <w:ind w:left="720" w:hanging="360"/>
      </w:pPr>
      <w:rPr>
        <w:rFonts w:cstheme="minorHAnsi"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F5"/>
    <w:rsid w:val="00025D73"/>
    <w:rsid w:val="000913C5"/>
    <w:rsid w:val="001106F5"/>
    <w:rsid w:val="00187495"/>
    <w:rsid w:val="0024207B"/>
    <w:rsid w:val="00464381"/>
    <w:rsid w:val="006A4157"/>
    <w:rsid w:val="00C4047D"/>
    <w:rsid w:val="00C75E3D"/>
    <w:rsid w:val="00F4289D"/>
    <w:rsid w:val="00F84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EF49"/>
  <w15:chartTrackingRefBased/>
  <w15:docId w15:val="{0CBEEB27-F767-4672-9FFB-986BA720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75E3D"/>
    <w:rPr>
      <w:rFonts w:ascii="Courier New" w:eastAsia="Times New Roman" w:hAnsi="Courier New" w:cs="Courier New"/>
      <w:sz w:val="20"/>
      <w:szCs w:val="20"/>
      <w:lang w:eastAsia="en-IE"/>
    </w:rPr>
  </w:style>
  <w:style w:type="character" w:customStyle="1" w:styleId="gd15mcfceub">
    <w:name w:val="gd15mcfceub"/>
    <w:basedOn w:val="DefaultParagraphFont"/>
    <w:rsid w:val="00C75E3D"/>
  </w:style>
  <w:style w:type="paragraph" w:styleId="ListParagraph">
    <w:name w:val="List Paragraph"/>
    <w:basedOn w:val="Normal"/>
    <w:uiPriority w:val="34"/>
    <w:qFormat/>
    <w:rsid w:val="0024207B"/>
    <w:pPr>
      <w:ind w:left="720"/>
      <w:contextualSpacing/>
    </w:pPr>
  </w:style>
  <w:style w:type="character" w:styleId="CommentReference">
    <w:name w:val="annotation reference"/>
    <w:basedOn w:val="DefaultParagraphFont"/>
    <w:uiPriority w:val="99"/>
    <w:semiHidden/>
    <w:unhideWhenUsed/>
    <w:rsid w:val="000913C5"/>
    <w:rPr>
      <w:sz w:val="16"/>
      <w:szCs w:val="16"/>
    </w:rPr>
  </w:style>
  <w:style w:type="paragraph" w:styleId="CommentText">
    <w:name w:val="annotation text"/>
    <w:basedOn w:val="Normal"/>
    <w:link w:val="CommentTextChar"/>
    <w:uiPriority w:val="99"/>
    <w:semiHidden/>
    <w:unhideWhenUsed/>
    <w:rsid w:val="000913C5"/>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0913C5"/>
    <w:rPr>
      <w:sz w:val="20"/>
      <w:szCs w:val="20"/>
      <w:lang w:val="en-GB"/>
    </w:rPr>
  </w:style>
  <w:style w:type="paragraph" w:styleId="BalloonText">
    <w:name w:val="Balloon Text"/>
    <w:basedOn w:val="Normal"/>
    <w:link w:val="BalloonTextChar"/>
    <w:uiPriority w:val="99"/>
    <w:semiHidden/>
    <w:unhideWhenUsed/>
    <w:rsid w:val="00091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3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13C5"/>
    <w:rPr>
      <w:b/>
      <w:bCs/>
      <w:lang w:val="en-IE"/>
    </w:rPr>
  </w:style>
  <w:style w:type="character" w:customStyle="1" w:styleId="CommentSubjectChar">
    <w:name w:val="Comment Subject Char"/>
    <w:basedOn w:val="CommentTextChar"/>
    <w:link w:val="CommentSubject"/>
    <w:uiPriority w:val="99"/>
    <w:semiHidden/>
    <w:rsid w:val="000913C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80085">
      <w:bodyDiv w:val="1"/>
      <w:marLeft w:val="0"/>
      <w:marRight w:val="0"/>
      <w:marTop w:val="0"/>
      <w:marBottom w:val="0"/>
      <w:divBdr>
        <w:top w:val="none" w:sz="0" w:space="0" w:color="auto"/>
        <w:left w:val="none" w:sz="0" w:space="0" w:color="auto"/>
        <w:bottom w:val="none" w:sz="0" w:space="0" w:color="auto"/>
        <w:right w:val="none" w:sz="0" w:space="0" w:color="auto"/>
      </w:divBdr>
    </w:div>
    <w:div w:id="581767501">
      <w:bodyDiv w:val="1"/>
      <w:marLeft w:val="0"/>
      <w:marRight w:val="0"/>
      <w:marTop w:val="0"/>
      <w:marBottom w:val="0"/>
      <w:divBdr>
        <w:top w:val="none" w:sz="0" w:space="0" w:color="auto"/>
        <w:left w:val="none" w:sz="0" w:space="0" w:color="auto"/>
        <w:bottom w:val="none" w:sz="0" w:space="0" w:color="auto"/>
        <w:right w:val="none" w:sz="0" w:space="0" w:color="auto"/>
      </w:divBdr>
    </w:div>
    <w:div w:id="685056443">
      <w:bodyDiv w:val="1"/>
      <w:marLeft w:val="0"/>
      <w:marRight w:val="0"/>
      <w:marTop w:val="0"/>
      <w:marBottom w:val="0"/>
      <w:divBdr>
        <w:top w:val="none" w:sz="0" w:space="0" w:color="auto"/>
        <w:left w:val="none" w:sz="0" w:space="0" w:color="auto"/>
        <w:bottom w:val="none" w:sz="0" w:space="0" w:color="auto"/>
        <w:right w:val="none" w:sz="0" w:space="0" w:color="auto"/>
      </w:divBdr>
    </w:div>
    <w:div w:id="1474180606">
      <w:bodyDiv w:val="1"/>
      <w:marLeft w:val="0"/>
      <w:marRight w:val="0"/>
      <w:marTop w:val="0"/>
      <w:marBottom w:val="0"/>
      <w:divBdr>
        <w:top w:val="none" w:sz="0" w:space="0" w:color="auto"/>
        <w:left w:val="none" w:sz="0" w:space="0" w:color="auto"/>
        <w:bottom w:val="none" w:sz="0" w:space="0" w:color="auto"/>
        <w:right w:val="none" w:sz="0" w:space="0" w:color="auto"/>
      </w:divBdr>
    </w:div>
    <w:div w:id="1842966789">
      <w:bodyDiv w:val="1"/>
      <w:marLeft w:val="0"/>
      <w:marRight w:val="0"/>
      <w:marTop w:val="0"/>
      <w:marBottom w:val="0"/>
      <w:divBdr>
        <w:top w:val="none" w:sz="0" w:space="0" w:color="auto"/>
        <w:left w:val="none" w:sz="0" w:space="0" w:color="auto"/>
        <w:bottom w:val="none" w:sz="0" w:space="0" w:color="auto"/>
        <w:right w:val="none" w:sz="0" w:space="0" w:color="auto"/>
      </w:divBdr>
    </w:div>
    <w:div w:id="20011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4</cp:revision>
  <dcterms:created xsi:type="dcterms:W3CDTF">2020-03-19T10:27:00Z</dcterms:created>
  <dcterms:modified xsi:type="dcterms:W3CDTF">2020-03-19T12:14:00Z</dcterms:modified>
</cp:coreProperties>
</file>