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38" w:rsidRDefault="00D03257">
      <w:r>
        <w:t>Problem 2:</w:t>
      </w:r>
    </w:p>
    <w:p w:rsidR="00D03257" w:rsidRDefault="00D03257">
      <w:r>
        <w:rPr>
          <w:noProof/>
          <w:lang w:eastAsia="en-IN"/>
        </w:rPr>
        <w:drawing>
          <wp:inline distT="0" distB="0" distL="0" distR="0">
            <wp:extent cx="6076950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57" w:rsidRDefault="00D03257">
      <w:r>
        <w:t xml:space="preserve">Given that each test has few type details. So a weak entity is used to represent the test type because the test type requires the </w:t>
      </w:r>
      <w:proofErr w:type="spellStart"/>
      <w:r>
        <w:t>TestNo</w:t>
      </w:r>
      <w:proofErr w:type="spellEnd"/>
      <w:r>
        <w:t xml:space="preserve"> identifier along with the type identifier to get identified uniquely. Each test is associated with one type and a type may or may not be administered to a client. </w:t>
      </w:r>
    </w:p>
    <w:sectPr w:rsidR="00D03257" w:rsidSect="0018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257"/>
    <w:rsid w:val="00184038"/>
    <w:rsid w:val="00D0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2017-07-27T17:47:00Z</dcterms:created>
  <dcterms:modified xsi:type="dcterms:W3CDTF">2017-07-27T17:51:00Z</dcterms:modified>
</cp:coreProperties>
</file>