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Interesting Title</w:t>
      </w:r>
    </w:p>
    <w:p>
      <w:pPr>
        <w:pStyle w:val="Author"/>
        <w:rPr/>
      </w:pPr>
      <w:r>
        <w:rPr/>
        <w:t>Author Name</w:t>
      </w:r>
    </w:p>
    <w:p>
      <w:pPr>
        <w:pStyle w:val="FirstParagraph"/>
        <w:rPr/>
      </w:pPr>
      <w:r>
        <w:rPr>
          <w:i/>
        </w:rPr>
        <w:t>Affiliations</w:t>
      </w:r>
      <w:r>
        <w:rPr/>
        <w:br/>
      </w:r>
    </w:p>
    <w:p>
      <w:pPr>
        <w:pStyle w:val="TextBody"/>
        <w:rPr/>
      </w:pPr>
      <w:r>
        <w:rPr/>
        <w:t>Corresponding Author</w:t>
        <w:br/>
      </w:r>
      <w:hyperlink r:id="rId2">
        <w:r>
          <w:rPr>
            <w:rStyle w:val="InternetLink"/>
          </w:rPr>
          <w:t>author@mail.com</w:t>
        </w:r>
      </w:hyperlink>
      <w:r>
        <w:rPr/>
        <w:br/>
      </w:r>
    </w:p>
    <w:p>
      <w:pPr>
        <w:pStyle w:val="Heading1"/>
        <w:rPr/>
      </w:pPr>
      <w:r>
        <w:rPr/>
        <w:t>Heading 1</w:t>
      </w:r>
      <w:bookmarkStart w:id="0" w:name="abstract"/>
      <w:bookmarkEnd w:id="0"/>
    </w:p>
    <w:p>
      <w:pPr>
        <w:pStyle w:val="Heading2"/>
        <w:rPr/>
      </w:pPr>
      <w:r>
        <w:rPr/>
        <w:t>Heading 2</w:t>
      </w:r>
    </w:p>
    <w:p>
      <w:pPr>
        <w:pStyle w:val="Heading3"/>
        <w:rPr/>
      </w:pPr>
      <w:r>
        <w:rPr/>
        <w:t>Heading 3</w:t>
      </w:r>
    </w:p>
    <w:p>
      <w:pPr>
        <w:pStyle w:val="FirstParagraph"/>
        <w:rPr/>
      </w:pPr>
      <w:r>
        <w:rPr/>
        <w:t xml:space="preserve">Lorem ipsum dolor sit amet, consectetur adipiscing elit. Duis id neque nunc. Nulla tincidunt, odio ut facilisis finibus, massa turpis varius eros, non porttitor est ante at quam. Etiam in mauris id sem tempor iaculis. Aliquam iaculis lacus ac urna pellentesque tempor. Vestibulum luctus fringilla dolor, non maximus mauris tincidunt at. </w:t>
      </w:r>
    </w:p>
    <w:p>
      <w:pPr>
        <w:pStyle w:val="FirstParagraph"/>
        <w:rPr/>
      </w:pPr>
      <w:r>
        <w:rPr/>
        <w:t>Etiam sit amet sodales neque (Figure 1). Vivamus porttitor varius quam, eget semper nisi rhoncus nec. In sed mollis nisi. Phasellus dictum arcu libero, in vulputate felis ultricies eget (</w:t>
      </w:r>
      <w:r>
        <w:rPr>
          <w:i/>
        </w:rPr>
        <w:t>F</w:t>
      </w:r>
      <w:r>
        <w:rPr/>
        <w:t xml:space="preserve">(4,12)=102.6, </w:t>
      </w:r>
      <w:r>
        <w:rPr>
          <w:i/>
        </w:rPr>
        <w:t>p</w:t>
      </w:r>
      <w:r>
        <w:rPr/>
        <w:t xml:space="preserve">&lt;.001, </w:t>
      </w:r>
      <w:r>
        <w:rPr/>
      </w:r>
      <m:oMath xmlns:m="http://schemas.openxmlformats.org/officeDocument/2006/math">
        <m:sSup>
          <m:e>
            <m:r>
              <w:rPr>
                <w:rFonts w:ascii="Cambria Math" w:hAnsi="Cambria Math"/>
              </w:rPr>
              <m:t xml:space="preserve">η</m:t>
            </m:r>
          </m:e>
          <m:sup>
            <m:r>
              <w:rPr>
                <w:rFonts w:ascii="Cambria Math" w:hAnsi="Cambria Math"/>
              </w:rPr>
              <m:t xml:space="preserve">2</m:t>
            </m:r>
          </m:sup>
        </m:sSup>
      </m:oMath>
      <w:r>
        <w:rPr/>
        <w:t xml:space="preserve">=0.97). Quisque ligula urna, rhoncus id ex sed, rutrum commodo magna(Cavanagh &amp; Anstis, </w:t>
      </w:r>
      <w:hyperlink w:anchor="ref-Cavanagh2013">
        <w:r>
          <w:rPr>
            <w:rStyle w:val="InternetLink"/>
          </w:rPr>
          <w:t>2013</w:t>
        </w:r>
      </w:hyperlink>
      <w:r>
        <w:rPr/>
        <w:t xml:space="preserve">). Phasellus a ipsum ante. </w:t>
      </w:r>
    </w:p>
    <w:p>
      <w:pPr>
        <w:pStyle w:val="TextBody"/>
        <w:rPr/>
      </w:pPr>
      <w:r>
        <w:rPr/>
        <w:t xml:space="preserve">[1]       </w:t>
      </w: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t</m:t>
        </m:r>
        <m:r>
          <w:rPr>
            <w:rFonts w:ascii="Cambria Math" w:hAnsi="Cambria Math"/>
          </w:rPr>
          <m:t xml:space="preserve">a</m:t>
        </m:r>
        <m:sSup>
          <m:e>
            <m:r>
              <w:rPr>
                <w:rFonts w:ascii="Cambria Math" w:hAnsi="Cambria Math"/>
              </w:rPr>
              <m:t xml:space="preserve">n</m:t>
            </m:r>
          </m:e>
          <m:sup>
            <m:r>
              <w:rPr>
                <w:rFonts w:ascii="Cambria Math" w:hAnsi="Cambria Math"/>
              </w:rPr>
              <m:t xml:space="preserve">−</m:t>
            </m:r>
            <m:r>
              <w:rPr>
                <w:rFonts w:ascii="Cambria Math" w:hAnsi="Cambria Math"/>
              </w:rPr>
              <m:t xml:space="preserve">1</m:t>
            </m:r>
          </m:sup>
        </m:sSup>
        <m:r>
          <w:rPr>
            <w:rFonts w:ascii="Cambria Math" w:hAnsi="Cambria Math"/>
          </w:rPr>
          <m:t xml:space="preserve">K</m:t>
        </m:r>
        <m:f>
          <m:num>
            <m:sSub>
              <m:e>
                <m:r>
                  <w:rPr>
                    <w:rFonts w:ascii="Cambria Math" w:hAnsi="Cambria Math"/>
                  </w:rPr>
                  <m:t xml:space="preserve">V</m:t>
                </m:r>
              </m:e>
              <m:sub>
                <m:r>
                  <w:rPr>
                    <w:rFonts w:ascii="Cambria Math" w:hAnsi="Cambria Math"/>
                  </w:rPr>
                  <m:t xml:space="preserve">i</m:t>
                </m:r>
              </m:sub>
            </m:sSub>
          </m:num>
          <m:den>
            <m:sSub>
              <m:e>
                <m:r>
                  <w:rPr>
                    <w:rFonts w:ascii="Cambria Math" w:hAnsi="Cambria Math"/>
                  </w:rPr>
                  <m:t xml:space="preserve">V</m:t>
                </m:r>
              </m:e>
              <m:sub>
                <m:r>
                  <w:rPr>
                    <w:rFonts w:ascii="Cambria Math" w:hAnsi="Cambria Math"/>
                  </w:rPr>
                  <m:t xml:space="preserve">e</m:t>
                </m:r>
              </m:sub>
            </m:sSub>
          </m:den>
        </m:f>
      </m:oMath>
    </w:p>
    <w:p>
      <w:pPr>
        <w:pStyle w:val="CaptionedFigure"/>
        <w:rPr/>
      </w:pPr>
      <w:r>
        <w:rPr/>
        <w:drawing>
          <wp:inline distT="0" distB="0" distL="0" distR="0">
            <wp:extent cx="5334000" cy="3333750"/>
            <wp:effectExtent l="0" t="0" r="0" b="0"/>
            <wp:docPr id="1" name="Image1" descr="Figure 2: Online Tracking Data. Left: Individual trajectories. Note that there are only a few obvious discontinuities (highlighted in red). In general, the traced paths showed rough linearity. Top right: Average heading of the middle 1 s of each pass. Distance from origin is time, angle is the heading angle. Dark blue lines the average heading, in light blue a polar heatmap with the distribution of heading. Bottom right: The strength of the illusion in degrees angle deviation from the physical path over unity slope (internal / external velocity). In red are the average illusions strengths for 0 cps, ±1 cps and ±3 cps, and in light blue the data for the 4 individual participants. Gray dashed line: rediction of vector combination model of Equation 1 with K=1. Black line: fit with K=0.81 as in Cavanagh &amp; Tse (2019), K=0.81. Purple: best fit to our data, K=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Figure 2: Online Tracking Data. Left: Individual trajectories. Note that there are only a few obvious discontinuities (highlighted in red). In general, the traced paths showed rough linearity. Top right: Average heading of the middle 1 s of each pass. Distance from origin is time, angle is the heading angle. Dark blue lines the average heading, in light blue a polar heatmap with the distribution of heading. Bottom right: The strength of the illusion in degrees angle deviation from the physical path over unity slope (internal / external velocity). In red are the average illusions strengths for 0 cps, ±1 cps and ±3 cps, and in light blue the data for the 4 individual participants. Gray dashed line: rediction of vector combination model of Equation 1 with K=1. Black line: fit with K=0.81 as in Cavanagh &amp; Tse (2019), K=0.81. Purple: best fit to our data, K=0.72."/>
                    <pic:cNvPicPr>
                      <a:picLocks noChangeAspect="1" noChangeArrowheads="1"/>
                    </pic:cNvPicPr>
                  </pic:nvPicPr>
                  <pic:blipFill>
                    <a:blip r:embed="rId3"/>
                    <a:stretch>
                      <a:fillRect/>
                    </a:stretch>
                  </pic:blipFill>
                  <pic:spPr bwMode="auto">
                    <a:xfrm>
                      <a:off x="0" y="0"/>
                      <a:ext cx="5334000" cy="3333750"/>
                    </a:xfrm>
                    <a:prstGeom prst="rect">
                      <a:avLst/>
                    </a:prstGeom>
                  </pic:spPr>
                </pic:pic>
              </a:graphicData>
            </a:graphic>
          </wp:inline>
        </w:drawing>
      </w:r>
    </w:p>
    <w:p>
      <w:pPr>
        <w:pStyle w:val="ImageCaption"/>
        <w:rPr/>
      </w:pPr>
      <w:r>
        <w:rPr>
          <w:b/>
        </w:rPr>
        <w:t>Figure 1:</w:t>
      </w:r>
      <w:r>
        <w:rPr/>
        <w:t xml:space="preserve"> Proin maximus posuere gravida. </w:t>
      </w:r>
      <w:r>
        <w:rPr>
          <w:b/>
        </w:rPr>
        <w:t>Left:</w:t>
      </w:r>
      <w:r>
        <w:rPr/>
        <w:t xml:space="preserve"> Vestibulum sollicitudin sapien sit amet ligula tempor congue. </w:t>
      </w:r>
      <w:r>
        <w:rPr>
          <w:b/>
        </w:rPr>
        <w:t>Top right:</w:t>
      </w:r>
      <w:r>
        <w:rPr/>
        <w:t xml:space="preserve"> Duis eget accumsan neque, at rutrum eros. </w:t>
      </w:r>
      <w:r>
        <w:rPr>
          <w:b/>
        </w:rPr>
        <w:t>Bottom right:</w:t>
      </w:r>
      <w:r>
        <w:rPr/>
        <w:t xml:space="preserve"> Pellentesque maximus lacus sed lorem dignissim porttitor. Vestibulum ante ipsum primis in faucibus orci luctus et ultrices posuere cubilia curae; Ut leo neque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m:t>
        </m:r>
      </m:oMath>
      <w:r>
        <w:rPr/>
        <w:t xml:space="preserve">, pharetra sit amet massa ultricies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0.81</m:t>
        </m:r>
      </m:oMath>
      <w:r>
        <w:rPr/>
        <w:t xml:space="preserve">, scelerisque hendrerit leo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0.72</m:t>
        </m:r>
      </m:oMath>
      <w:r>
        <w:rPr/>
        <w:t xml:space="preserve">. </w:t>
      </w:r>
    </w:p>
    <w:p>
      <w:pPr>
        <w:pStyle w:val="Heading1"/>
        <w:rPr/>
      </w:pPr>
      <w:bookmarkStart w:id="1" w:name="references"/>
      <w:r>
        <w:rPr/>
        <w:t>References</w:t>
      </w:r>
      <w:bookmarkEnd w:id="1"/>
    </w:p>
    <w:p>
      <w:pPr>
        <w:pStyle w:val="Bibliography"/>
        <w:spacing w:before="0" w:after="200"/>
        <w:rPr/>
      </w:pPr>
      <w:r>
        <w:rPr/>
        <w:t xml:space="preserve">Cavanagh, P., &amp; Anstis, S. (2013). The flash grab effect. </w:t>
      </w:r>
      <w:r>
        <w:rPr>
          <w:i/>
        </w:rPr>
        <w:t>Vision Research</w:t>
      </w:r>
      <w:r>
        <w:rPr/>
        <w:t xml:space="preserve">, </w:t>
      </w:r>
      <w:r>
        <w:rPr>
          <w:i/>
        </w:rPr>
        <w:t>91</w:t>
      </w:r>
      <w:r>
        <w:rPr/>
        <w:t xml:space="preserve">, 8–20. </w:t>
      </w:r>
      <w:hyperlink r:id="rId4">
        <w:r>
          <w:rPr>
            <w:rStyle w:val="InternetLink"/>
          </w:rPr>
          <w:t>https://doi.org/10.1016/j.visres.2013.07.007</w:t>
        </w:r>
      </w:hyperlink>
    </w:p>
    <w:sectPr>
      <w:footerReference w:type="default" r:id="rId5"/>
      <w:type w:val="nextPage"/>
      <w:pgSz w:w="12240" w:h="15840"/>
      <w:pgMar w:left="1701" w:right="1134" w:header="0" w:top="1134" w:footer="1134" w:bottom="1745" w:gutter="0"/>
      <w:lnNumType w:countBy="1" w:restart="continuous" w:distance="56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Helvetica">
    <w:altName w:val="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sz w:val="28"/>
        <w:szCs w:val="28"/>
      </w:rPr>
      <w:fldChar w:fldCharType="begin"/>
    </w:r>
    <w:r>
      <w:rPr>
        <w:sz w:val="28"/>
        <w:szCs w:val="28"/>
      </w:rPr>
      <w:instrText> PAGE </w:instrText>
    </w:r>
    <w:r>
      <w:rPr>
        <w:sz w:val="28"/>
        <w:szCs w:val="28"/>
      </w:rPr>
      <w:fldChar w:fldCharType="separate"/>
    </w:r>
    <w:r>
      <w:rPr>
        <w:sz w:val="28"/>
        <w:szCs w:val="28"/>
      </w:rPr>
      <w:t>2</w:t>
    </w:r>
    <w:r>
      <w:rPr>
        <w:sz w:val="28"/>
        <w:szCs w:val="28"/>
      </w:rPr>
      <w:fldChar w:fldCharType="end"/>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Helvetica" w:hAnsi="Helvetica" w:eastAsia="" w:cs="" w:cstheme="majorBidi" w:eastAsiaTheme="majorEastAsia"/>
      <w:b w:val="false"/>
      <w:bCs/>
      <w:i/>
      <w:color w:val="345A8A" w:themeColor="accent1" w:themeShade="b5"/>
      <w:sz w:val="32"/>
      <w:szCs w:val="32"/>
    </w:rPr>
  </w:style>
  <w:style w:type="paragraph" w:styleId="Heading2">
    <w:name w:val="Heading 2"/>
    <w:basedOn w:val="Normal"/>
    <w:uiPriority w:val="9"/>
    <w:unhideWhenUsed/>
    <w:qFormat/>
    <w:pPr>
      <w:keepNext w:val="true"/>
      <w:keepLines/>
      <w:spacing w:before="200" w:after="0"/>
      <w:outlineLvl w:val="1"/>
    </w:pPr>
    <w:rPr>
      <w:rFonts w:ascii="Helvetica" w:hAnsi="Helvetica" w:eastAsia="" w:cs="" w:cstheme="majorBidi" w:eastAsiaTheme="majorEastAsia"/>
      <w:b w:val="false"/>
      <w:bCs/>
      <w:i/>
      <w:color w:val="4F81BD" w:themeColor="accent1"/>
      <w:sz w:val="32"/>
      <w:szCs w:val="32"/>
    </w:rPr>
  </w:style>
  <w:style w:type="paragraph" w:styleId="Heading3">
    <w:name w:val="Heading 3"/>
    <w:basedOn w:val="Normal"/>
    <w:uiPriority w:val="9"/>
    <w:unhideWhenUsed/>
    <w:qFormat/>
    <w:pPr>
      <w:keepNext w:val="true"/>
      <w:keepLines/>
      <w:spacing w:before="200" w:after="0"/>
      <w:outlineLvl w:val="2"/>
    </w:pPr>
    <w:rPr>
      <w:rFonts w:ascii="Helvetica" w:hAnsi="Helvetica" w:eastAsia="" w:cs="" w:cstheme="majorBidi" w:eastAsiaTheme="majorEastAsia"/>
      <w:b w:val="false"/>
      <w:bCs/>
      <w:i/>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character" w:styleId="LineNumbering">
    <w:name w:val="Line Numbering"/>
    <w:rPr>
      <w:sz w:val="20"/>
    </w:rPr>
  </w:style>
  <w:style w:type="character" w:styleId="ListLabel2">
    <w:name w:val="ListLabel 2"/>
    <w:qFormat/>
    <w:rPr/>
  </w:style>
  <w:style w:type="character" w:styleId="ListLabel3">
    <w:name w:val="ListLabel 3"/>
    <w:qFormat/>
    <w:rPr/>
  </w:style>
  <w:style w:type="character" w:styleId="ListLabel4">
    <w:name w:val="ListLabel 4"/>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lineRule="auto" w:line="360"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Helvetica" w:hAnsi="Helvetica" w:eastAsia="" w:cs="" w:cstheme="majorBidi" w:eastAsiaTheme="majorEastAsia"/>
      <w:b w:val="false"/>
      <w:bCs/>
      <w:i w:val="false"/>
      <w:color w:val="345A8A" w:themeColor="accent1"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tabs>
        <w:tab w:val="center" w:pos="4702" w:leader="none"/>
        <w:tab w:val="right" w:pos="9405" w:leader="none"/>
      </w:tabs>
    </w:pPr>
    <w:rPr/>
  </w:style>
  <w:style w:type="paragraph" w:styleId="Header">
    <w:name w:val="Header"/>
    <w:basedOn w:val="Normal"/>
    <w:pPr>
      <w:suppressLineNumbers/>
      <w:tabs>
        <w:tab w:val="center" w:pos="4702" w:leader="none"/>
        <w:tab w:val="right" w:pos="9405" w:leader="none"/>
      </w:tabs>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uthor@mail.com" TargetMode="External"/><Relationship Id="rId3" Type="http://schemas.openxmlformats.org/officeDocument/2006/relationships/image" Target="media/image1.png"/><Relationship Id="rId4" Type="http://schemas.openxmlformats.org/officeDocument/2006/relationships/hyperlink" Target="https://doi.org/10.1016/j.visres.2013.07.007" TargetMode="Externa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LibreOffice/6.0.7.3$Linux_X86_64 LibreOffice_project/00m0$Build-3</Application>
  <Pages>2</Pages>
  <Words>193</Words>
  <Characters>1132</Characters>
  <CharactersWithSpaces>1322</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2021-03-03T04:20:08Z</dcterms:created>
  <dc:creator>Bernard Marius ’t Hart 1,*; Denise Y.P. Henriques 1; Patrick Cavanagh 1,2,3</dc:creator>
  <dc:description/>
  <dc:language>en-CA</dc:language>
  <cp:lastModifiedBy>Marius </cp:lastModifiedBy>
  <dcterms:modified xsi:type="dcterms:W3CDTF">2021-12-16T13:27:19Z</dcterms:modified>
  <cp:revision>5</cp:revision>
  <dc:subject/>
  <dc:title>Measuring the double-drift illusion with hand tracking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