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42CB4" w14:textId="4708026D"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3600"/>
        <w:gridCol w:w="4680"/>
      </w:tblGrid>
      <w:tr w:rsidR="009402F3" w:rsidRPr="00AC403D" w14:paraId="5F8CFA0D" w14:textId="77777777" w:rsidTr="009747CC">
        <w:trPr>
          <w:tblHeader/>
        </w:trPr>
        <w:tc>
          <w:tcPr>
            <w:tcW w:w="1975"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600"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4680"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9747CC">
        <w:tc>
          <w:tcPr>
            <w:tcW w:w="1975" w:type="dxa"/>
            <w:tcMar>
              <w:top w:w="0" w:type="dxa"/>
              <w:left w:w="115" w:type="dxa"/>
              <w:bottom w:w="0" w:type="dxa"/>
              <w:right w:w="115" w:type="dxa"/>
            </w:tcMar>
          </w:tcPr>
          <w:p w14:paraId="3E61B9C3" w14:textId="6C853239" w:rsidR="009402F3" w:rsidRPr="00AC403D" w:rsidRDefault="008877FA" w:rsidP="008877FA">
            <w:pPr>
              <w:suppressAutoHyphens/>
              <w:contextualSpacing/>
              <w:rPr>
                <w:rFonts w:asciiTheme="majorHAnsi" w:hAnsiTheme="majorHAnsi" w:cstheme="majorHAnsi"/>
                <w:sz w:val="22"/>
                <w:szCs w:val="22"/>
              </w:rPr>
            </w:pPr>
            <w:r>
              <w:t>User authentication and role-based access control</w:t>
            </w:r>
          </w:p>
        </w:tc>
        <w:tc>
          <w:tcPr>
            <w:tcW w:w="3600" w:type="dxa"/>
            <w:tcMar>
              <w:top w:w="0" w:type="dxa"/>
              <w:left w:w="115" w:type="dxa"/>
              <w:bottom w:w="0" w:type="dxa"/>
              <w:right w:w="115" w:type="dxa"/>
            </w:tcMar>
          </w:tcPr>
          <w:p w14:paraId="46203D0A" w14:textId="0931BFD5" w:rsidR="008877FA" w:rsidRPr="00AC403D" w:rsidRDefault="008877F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Protecting private information and system integrity.</w:t>
            </w:r>
          </w:p>
        </w:tc>
        <w:tc>
          <w:tcPr>
            <w:tcW w:w="4680" w:type="dxa"/>
            <w:tcMar>
              <w:top w:w="0" w:type="dxa"/>
              <w:left w:w="115" w:type="dxa"/>
              <w:bottom w:w="0" w:type="dxa"/>
              <w:right w:w="115" w:type="dxa"/>
            </w:tcMar>
          </w:tcPr>
          <w:p w14:paraId="5DD2823F" w14:textId="6EF85AE0" w:rsidR="009402F3" w:rsidRPr="009747CC" w:rsidRDefault="005F6D98" w:rsidP="005F6D98">
            <w:pPr>
              <w:pStyle w:val="whitespace-pre-wrap"/>
              <w:rPr>
                <w:sz w:val="22"/>
                <w:szCs w:val="22"/>
              </w:rPr>
            </w:pPr>
            <w:r w:rsidRPr="009747CC">
              <w:rPr>
                <w:sz w:val="22"/>
                <w:szCs w:val="22"/>
              </w:rPr>
              <w:t xml:space="preserve">Ülker, D., &amp; Yilmaz, Y. (2016). Learning management systems and comparison of </w:t>
            </w:r>
            <w:proofErr w:type="gramStart"/>
            <w:r w:rsidRPr="009747CC">
              <w:rPr>
                <w:sz w:val="22"/>
                <w:szCs w:val="22"/>
              </w:rPr>
              <w:t>open source</w:t>
            </w:r>
            <w:proofErr w:type="gramEnd"/>
            <w:r w:rsidRPr="009747CC">
              <w:rPr>
                <w:sz w:val="22"/>
                <w:szCs w:val="22"/>
              </w:rPr>
              <w:t xml:space="preserve"> learning management systems and proprietary learning management systems. Journal of Systems Integration, 7(2), 18-24. </w:t>
            </w:r>
            <w:hyperlink r:id="rId8" w:tgtFrame="_blank" w:history="1">
              <w:r w:rsidRPr="009747CC">
                <w:rPr>
                  <w:rStyle w:val="Hyperlink"/>
                  <w:sz w:val="22"/>
                  <w:szCs w:val="22"/>
                </w:rPr>
                <w:t>https://doi.org/10.20470/jsi.v7i2.255</w:t>
              </w:r>
            </w:hyperlink>
          </w:p>
        </w:tc>
      </w:tr>
      <w:tr w:rsidR="009402F3" w:rsidRPr="00AC403D" w14:paraId="3BA7A616" w14:textId="77777777" w:rsidTr="009747CC">
        <w:tc>
          <w:tcPr>
            <w:tcW w:w="1975" w:type="dxa"/>
            <w:tcMar>
              <w:top w:w="0" w:type="dxa"/>
              <w:left w:w="115" w:type="dxa"/>
              <w:bottom w:w="0" w:type="dxa"/>
              <w:right w:w="115" w:type="dxa"/>
            </w:tcMar>
          </w:tcPr>
          <w:p w14:paraId="54E41534" w14:textId="4339E46D" w:rsidR="009402F3" w:rsidRPr="00AC403D" w:rsidRDefault="008877FA" w:rsidP="008877FA">
            <w:pPr>
              <w:suppressAutoHyphens/>
              <w:contextualSpacing/>
              <w:rPr>
                <w:rFonts w:asciiTheme="majorHAnsi" w:hAnsiTheme="majorHAnsi" w:cstheme="majorHAnsi"/>
                <w:sz w:val="22"/>
                <w:szCs w:val="22"/>
              </w:rPr>
            </w:pPr>
            <w:r>
              <w:t>Course content management</w:t>
            </w:r>
          </w:p>
        </w:tc>
        <w:tc>
          <w:tcPr>
            <w:tcW w:w="3600" w:type="dxa"/>
            <w:tcMar>
              <w:top w:w="0" w:type="dxa"/>
              <w:left w:w="115" w:type="dxa"/>
              <w:bottom w:w="0" w:type="dxa"/>
              <w:right w:w="115" w:type="dxa"/>
            </w:tcMar>
          </w:tcPr>
          <w:p w14:paraId="4D0E5F81" w14:textId="13ED6592" w:rsidR="009402F3" w:rsidRPr="00AC403D" w:rsidRDefault="008877F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Enables the creation, upload, and organization capabilities for creating and managing online materials such as syllabus, readings, videos, assignments, quizzes, and so on. This is a critical component for online course structures.</w:t>
            </w:r>
          </w:p>
        </w:tc>
        <w:tc>
          <w:tcPr>
            <w:tcW w:w="4680" w:type="dxa"/>
            <w:tcMar>
              <w:top w:w="0" w:type="dxa"/>
              <w:left w:w="115" w:type="dxa"/>
              <w:bottom w:w="0" w:type="dxa"/>
              <w:right w:w="115" w:type="dxa"/>
            </w:tcMar>
          </w:tcPr>
          <w:p w14:paraId="3B72BC1E" w14:textId="1CD56AC0" w:rsidR="009402F3" w:rsidRPr="009747CC" w:rsidRDefault="009747CC" w:rsidP="005F6D98">
            <w:pPr>
              <w:pStyle w:val="whitespace-pre-wrap"/>
              <w:rPr>
                <w:sz w:val="22"/>
                <w:szCs w:val="22"/>
              </w:rPr>
            </w:pPr>
            <w:r w:rsidRPr="009747CC">
              <w:rPr>
                <w:sz w:val="22"/>
                <w:szCs w:val="22"/>
              </w:rPr>
              <w:t xml:space="preserve">Berkani, L. (2021). Learning management systems: Concept and challenges. Computers, 10(9), 112. </w:t>
            </w:r>
            <w:hyperlink r:id="rId9" w:tgtFrame="_blank" w:history="1">
              <w:r w:rsidRPr="009747CC">
                <w:rPr>
                  <w:rStyle w:val="Hyperlink"/>
                  <w:sz w:val="22"/>
                  <w:szCs w:val="22"/>
                </w:rPr>
                <w:t>https://doi.org/10.3390/computers10090112</w:t>
              </w:r>
            </w:hyperlink>
          </w:p>
        </w:tc>
      </w:tr>
      <w:tr w:rsidR="009402F3" w:rsidRPr="00AC403D" w14:paraId="6CE8FCA3" w14:textId="77777777" w:rsidTr="009747CC">
        <w:tc>
          <w:tcPr>
            <w:tcW w:w="1975" w:type="dxa"/>
            <w:tcMar>
              <w:top w:w="0" w:type="dxa"/>
              <w:left w:w="115" w:type="dxa"/>
              <w:bottom w:w="0" w:type="dxa"/>
              <w:right w:w="115" w:type="dxa"/>
            </w:tcMar>
          </w:tcPr>
          <w:p w14:paraId="299B7601" w14:textId="4FF39AB4" w:rsidR="009402F3" w:rsidRPr="008877FA" w:rsidRDefault="008877FA" w:rsidP="008877FA">
            <w:pPr>
              <w:rPr>
                <w:rFonts w:ascii="Times New Roman" w:eastAsia="Times New Roman" w:hAnsi="Times New Roman" w:cs="Times New Roman"/>
                <w:lang w:val="en-US"/>
              </w:rPr>
            </w:pPr>
            <w:r w:rsidRPr="008877FA">
              <w:rPr>
                <w:rFonts w:ascii="Times New Roman" w:eastAsia="Times New Roman" w:hAnsi="Times New Roman" w:cs="Times New Roman"/>
                <w:lang w:val="en-US"/>
              </w:rPr>
              <w:t>Assignment submission and grading</w:t>
            </w:r>
          </w:p>
        </w:tc>
        <w:tc>
          <w:tcPr>
            <w:tcW w:w="3600" w:type="dxa"/>
            <w:tcMar>
              <w:top w:w="0" w:type="dxa"/>
              <w:left w:w="115" w:type="dxa"/>
              <w:bottom w:w="0" w:type="dxa"/>
              <w:right w:w="115" w:type="dxa"/>
            </w:tcMar>
          </w:tcPr>
          <w:p w14:paraId="4C0AE04D" w14:textId="39177F63" w:rsidR="009402F3" w:rsidRPr="00AC403D" w:rsidRDefault="008877F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Facilitates assignment workflow for online classes by giving instructors tools to easily grade submissions and leave feedback on each assignment. Allows students to submit their work online.</w:t>
            </w:r>
          </w:p>
        </w:tc>
        <w:tc>
          <w:tcPr>
            <w:tcW w:w="4680" w:type="dxa"/>
            <w:tcMar>
              <w:top w:w="0" w:type="dxa"/>
              <w:left w:w="115" w:type="dxa"/>
              <w:bottom w:w="0" w:type="dxa"/>
              <w:right w:w="115" w:type="dxa"/>
            </w:tcMar>
          </w:tcPr>
          <w:p w14:paraId="584BBEF1" w14:textId="42DBE89F" w:rsidR="009402F3" w:rsidRPr="009747CC" w:rsidRDefault="009747CC" w:rsidP="005F6D98">
            <w:pPr>
              <w:pStyle w:val="whitespace-pre-wrap"/>
              <w:rPr>
                <w:sz w:val="22"/>
                <w:szCs w:val="22"/>
              </w:rPr>
            </w:pPr>
            <w:r w:rsidRPr="009747CC">
              <w:rPr>
                <w:sz w:val="22"/>
                <w:szCs w:val="22"/>
              </w:rPr>
              <w:t xml:space="preserve">Dube, S., &amp; Scott, E. (2014). An empirical study on the use of the Sakai learning management system. In Proceedings of the e-Skills for Knowledge Production and Innovation Conference (pp. 101-107). </w:t>
            </w:r>
            <w:hyperlink r:id="rId10" w:tgtFrame="_blank" w:history="1">
              <w:r w:rsidRPr="009747CC">
                <w:rPr>
                  <w:rStyle w:val="Hyperlink"/>
                  <w:sz w:val="22"/>
                  <w:szCs w:val="22"/>
                </w:rPr>
                <w:t>https://doi.org/10.13140/RG.2.1.3159.1048</w:t>
              </w:r>
            </w:hyperlink>
          </w:p>
        </w:tc>
      </w:tr>
      <w:tr w:rsidR="009402F3" w:rsidRPr="00AC403D" w14:paraId="44B5FFA6" w14:textId="77777777" w:rsidTr="009747CC">
        <w:tc>
          <w:tcPr>
            <w:tcW w:w="1975" w:type="dxa"/>
            <w:tcMar>
              <w:top w:w="0" w:type="dxa"/>
              <w:left w:w="115" w:type="dxa"/>
              <w:bottom w:w="0" w:type="dxa"/>
              <w:right w:w="115" w:type="dxa"/>
            </w:tcMar>
          </w:tcPr>
          <w:p w14:paraId="4130F84B" w14:textId="30BD06FA" w:rsidR="009402F3" w:rsidRPr="00AC403D" w:rsidRDefault="008877FA" w:rsidP="008877FA">
            <w:pPr>
              <w:suppressAutoHyphens/>
              <w:contextualSpacing/>
              <w:rPr>
                <w:rFonts w:asciiTheme="majorHAnsi" w:hAnsiTheme="majorHAnsi" w:cstheme="majorHAnsi"/>
                <w:sz w:val="22"/>
                <w:szCs w:val="22"/>
              </w:rPr>
            </w:pPr>
            <w:r>
              <w:t>Discussion forums</w:t>
            </w:r>
          </w:p>
        </w:tc>
        <w:tc>
          <w:tcPr>
            <w:tcW w:w="3600" w:type="dxa"/>
            <w:tcMar>
              <w:top w:w="0" w:type="dxa"/>
              <w:left w:w="115" w:type="dxa"/>
              <w:bottom w:w="0" w:type="dxa"/>
              <w:right w:w="115" w:type="dxa"/>
            </w:tcMar>
          </w:tcPr>
          <w:p w14:paraId="0EB2317C" w14:textId="0D2DA7C5" w:rsidR="009402F3" w:rsidRPr="00AC403D" w:rsidRDefault="008877F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Important part of the online course structure as it allows students the opportunity to engage with other students and instructors, encouraging collaboration, and building an online learning community.</w:t>
            </w:r>
          </w:p>
        </w:tc>
        <w:tc>
          <w:tcPr>
            <w:tcW w:w="4680" w:type="dxa"/>
            <w:tcMar>
              <w:top w:w="0" w:type="dxa"/>
              <w:left w:w="115" w:type="dxa"/>
              <w:bottom w:w="0" w:type="dxa"/>
              <w:right w:w="115" w:type="dxa"/>
            </w:tcMar>
          </w:tcPr>
          <w:p w14:paraId="65212C86" w14:textId="361F11E9" w:rsidR="009402F3" w:rsidRPr="009747CC" w:rsidRDefault="009747CC" w:rsidP="005F6D98">
            <w:pPr>
              <w:pStyle w:val="whitespace-pre-wrap"/>
              <w:rPr>
                <w:sz w:val="22"/>
                <w:szCs w:val="22"/>
              </w:rPr>
            </w:pPr>
            <w:r w:rsidRPr="009747CC">
              <w:rPr>
                <w:sz w:val="22"/>
                <w:szCs w:val="22"/>
              </w:rPr>
              <w:t xml:space="preserve">Bozkurt, A. (2019). From distance education to open and distance learning: A holistic evaluation of history, definitions, and theories. In Handbook of Research on Learning in the Age of Transhumanism (pp. 252-273). IGI Global. </w:t>
            </w:r>
            <w:hyperlink r:id="rId11" w:tgtFrame="_blank" w:history="1">
              <w:r w:rsidRPr="009747CC">
                <w:rPr>
                  <w:rStyle w:val="Hyperlink"/>
                  <w:sz w:val="22"/>
                  <w:szCs w:val="22"/>
                </w:rPr>
                <w:t>https://doi.org/10.4018/978-1-5225-8431-5.ch016</w:t>
              </w:r>
            </w:hyperlink>
          </w:p>
        </w:tc>
      </w:tr>
      <w:tr w:rsidR="009402F3" w:rsidRPr="00AC403D" w14:paraId="42818656" w14:textId="77777777" w:rsidTr="009747CC">
        <w:tc>
          <w:tcPr>
            <w:tcW w:w="1975" w:type="dxa"/>
            <w:tcMar>
              <w:top w:w="0" w:type="dxa"/>
              <w:left w:w="115" w:type="dxa"/>
              <w:bottom w:w="0" w:type="dxa"/>
              <w:right w:w="115" w:type="dxa"/>
            </w:tcMar>
          </w:tcPr>
          <w:p w14:paraId="151D5D85" w14:textId="3F768503" w:rsidR="009402F3" w:rsidRPr="00AC403D" w:rsidRDefault="008877FA" w:rsidP="008877FA">
            <w:pPr>
              <w:suppressAutoHyphens/>
              <w:contextualSpacing/>
              <w:rPr>
                <w:rFonts w:asciiTheme="majorHAnsi" w:hAnsiTheme="majorHAnsi" w:cstheme="majorHAnsi"/>
                <w:sz w:val="22"/>
                <w:szCs w:val="22"/>
              </w:rPr>
            </w:pPr>
            <w:r>
              <w:t>Grade management and reporting</w:t>
            </w:r>
          </w:p>
        </w:tc>
        <w:tc>
          <w:tcPr>
            <w:tcW w:w="3600" w:type="dxa"/>
            <w:tcMar>
              <w:top w:w="0" w:type="dxa"/>
              <w:left w:w="115" w:type="dxa"/>
              <w:bottom w:w="0" w:type="dxa"/>
              <w:right w:w="115" w:type="dxa"/>
            </w:tcMar>
          </w:tcPr>
          <w:p w14:paraId="22998578" w14:textId="5F899825" w:rsidR="009402F3" w:rsidRPr="00AC403D" w:rsidRDefault="005F6D9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Track student and instructor performance. Offers the ability to enter, calculate, and manage student grades. This also allows third parties such as registrar and advisors to track students progress toward their degree.</w:t>
            </w:r>
          </w:p>
        </w:tc>
        <w:tc>
          <w:tcPr>
            <w:tcW w:w="4680" w:type="dxa"/>
            <w:tcMar>
              <w:top w:w="0" w:type="dxa"/>
              <w:left w:w="115" w:type="dxa"/>
              <w:bottom w:w="0" w:type="dxa"/>
              <w:right w:w="115" w:type="dxa"/>
            </w:tcMar>
          </w:tcPr>
          <w:p w14:paraId="76A21160" w14:textId="11E8892D" w:rsidR="009402F3" w:rsidRPr="009747CC" w:rsidRDefault="009747CC" w:rsidP="005F6D98">
            <w:pPr>
              <w:pStyle w:val="whitespace-pre-wrap"/>
              <w:rPr>
                <w:sz w:val="22"/>
                <w:szCs w:val="22"/>
              </w:rPr>
            </w:pPr>
            <w:r w:rsidRPr="009747CC">
              <w:rPr>
                <w:sz w:val="22"/>
                <w:szCs w:val="22"/>
              </w:rPr>
              <w:t xml:space="preserve">Ülker, D., &amp; Yilmaz, Y. (2016). Learning management systems and comparison of </w:t>
            </w:r>
            <w:proofErr w:type="gramStart"/>
            <w:r w:rsidRPr="009747CC">
              <w:rPr>
                <w:sz w:val="22"/>
                <w:szCs w:val="22"/>
              </w:rPr>
              <w:t>open source</w:t>
            </w:r>
            <w:proofErr w:type="gramEnd"/>
            <w:r w:rsidRPr="009747CC">
              <w:rPr>
                <w:sz w:val="22"/>
                <w:szCs w:val="22"/>
              </w:rPr>
              <w:t xml:space="preserve"> learning management systems and proprietary learning management systems. Journal of Systems Integration, 7(2), 18-24. </w:t>
            </w:r>
            <w:hyperlink r:id="rId12" w:tgtFrame="_blank" w:history="1">
              <w:r w:rsidRPr="009747CC">
                <w:rPr>
                  <w:rStyle w:val="Hyperlink"/>
                  <w:sz w:val="22"/>
                  <w:szCs w:val="22"/>
                </w:rPr>
                <w:t>https://doi.org/10.20470/jsi.v7i2.255</w:t>
              </w:r>
            </w:hyperlink>
          </w:p>
        </w:tc>
      </w:tr>
      <w:tr w:rsidR="009402F3" w:rsidRPr="00AC403D" w14:paraId="1F31ED43" w14:textId="77777777" w:rsidTr="009747CC">
        <w:tc>
          <w:tcPr>
            <w:tcW w:w="1975" w:type="dxa"/>
            <w:tcMar>
              <w:top w:w="0" w:type="dxa"/>
              <w:left w:w="115" w:type="dxa"/>
              <w:bottom w:w="0" w:type="dxa"/>
              <w:right w:w="115" w:type="dxa"/>
            </w:tcMar>
          </w:tcPr>
          <w:p w14:paraId="7E0B71D2" w14:textId="1101BF81" w:rsidR="009402F3" w:rsidRPr="00AC403D" w:rsidRDefault="008877FA" w:rsidP="008877FA">
            <w:pPr>
              <w:suppressAutoHyphens/>
              <w:contextualSpacing/>
              <w:rPr>
                <w:rFonts w:asciiTheme="majorHAnsi" w:hAnsiTheme="majorHAnsi" w:cstheme="majorHAnsi"/>
                <w:sz w:val="22"/>
                <w:szCs w:val="22"/>
              </w:rPr>
            </w:pPr>
            <w:r>
              <w:t>Mobile responsiveness</w:t>
            </w:r>
          </w:p>
        </w:tc>
        <w:tc>
          <w:tcPr>
            <w:tcW w:w="3600" w:type="dxa"/>
            <w:tcMar>
              <w:top w:w="0" w:type="dxa"/>
              <w:left w:w="115" w:type="dxa"/>
              <w:bottom w:w="0" w:type="dxa"/>
              <w:right w:w="115" w:type="dxa"/>
            </w:tcMar>
          </w:tcPr>
          <w:p w14:paraId="181A8AAA" w14:textId="075EB5D7" w:rsidR="009402F3" w:rsidRPr="00AC403D" w:rsidRDefault="005F6D9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This enables flexibility and accessibility, which are key components of an online course structure. Allowing material to be viewed and completed with a mobile interface is crucial to the LMS interface.</w:t>
            </w:r>
          </w:p>
        </w:tc>
        <w:tc>
          <w:tcPr>
            <w:tcW w:w="4680" w:type="dxa"/>
            <w:tcMar>
              <w:top w:w="0" w:type="dxa"/>
              <w:left w:w="115" w:type="dxa"/>
              <w:bottom w:w="0" w:type="dxa"/>
              <w:right w:w="115" w:type="dxa"/>
            </w:tcMar>
          </w:tcPr>
          <w:p w14:paraId="4D465B85" w14:textId="46F30485" w:rsidR="009402F3" w:rsidRPr="009747CC" w:rsidRDefault="009747CC" w:rsidP="00AC403D">
            <w:pPr>
              <w:suppressAutoHyphens/>
              <w:contextualSpacing/>
              <w:rPr>
                <w:rFonts w:asciiTheme="majorHAnsi" w:hAnsiTheme="majorHAnsi" w:cstheme="majorHAnsi"/>
                <w:sz w:val="22"/>
                <w:szCs w:val="22"/>
              </w:rPr>
            </w:pPr>
            <w:r w:rsidRPr="009747CC">
              <w:rPr>
                <w:sz w:val="22"/>
                <w:szCs w:val="22"/>
              </w:rPr>
              <w:t xml:space="preserve">Bozkurt, A. (2019). From distance education to open and distance learning: A holistic evaluation of history, definitions, and theories. In Handbook of Research on Learning in the Age of Transhumanism (pp. 252-273). IGI Global. </w:t>
            </w:r>
            <w:hyperlink r:id="rId13" w:tgtFrame="_blank" w:history="1">
              <w:r w:rsidRPr="009747CC">
                <w:rPr>
                  <w:rStyle w:val="Hyperlink"/>
                  <w:sz w:val="22"/>
                  <w:szCs w:val="22"/>
                </w:rPr>
                <w:t>https://doi.org/10.4018/978-1-5225-8431-5.ch016</w:t>
              </w:r>
            </w:hyperlink>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lastRenderedPageBreak/>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140"/>
        <w:gridCol w:w="3235"/>
      </w:tblGrid>
      <w:tr w:rsidR="009402F3" w:rsidRPr="00AC403D" w14:paraId="36A57104" w14:textId="77777777" w:rsidTr="00CD5006">
        <w:trPr>
          <w:tblHeader/>
        </w:trPr>
        <w:tc>
          <w:tcPr>
            <w:tcW w:w="1975"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4140"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235"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CD5006">
        <w:tc>
          <w:tcPr>
            <w:tcW w:w="1975" w:type="dxa"/>
            <w:tcMar>
              <w:top w:w="0" w:type="dxa"/>
              <w:left w:w="115" w:type="dxa"/>
              <w:bottom w:w="0" w:type="dxa"/>
              <w:right w:w="115" w:type="dxa"/>
            </w:tcMar>
          </w:tcPr>
          <w:p w14:paraId="03ED8371" w14:textId="4798417E" w:rsidR="009402F3" w:rsidRPr="00AC403D" w:rsidRDefault="00CD50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High Availability</w:t>
            </w:r>
          </w:p>
        </w:tc>
        <w:tc>
          <w:tcPr>
            <w:tcW w:w="4140" w:type="dxa"/>
            <w:tcMar>
              <w:top w:w="0" w:type="dxa"/>
              <w:left w:w="115" w:type="dxa"/>
              <w:bottom w:w="0" w:type="dxa"/>
              <w:right w:w="115" w:type="dxa"/>
            </w:tcMar>
          </w:tcPr>
          <w:p w14:paraId="49D8497C" w14:textId="0CE5D469" w:rsidR="009402F3" w:rsidRPr="00AC403D" w:rsidRDefault="00C245E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Minimal downtown is needed so that students and faculty can access the system with 24/7 availability.</w:t>
            </w:r>
          </w:p>
        </w:tc>
        <w:tc>
          <w:tcPr>
            <w:tcW w:w="3235" w:type="dxa"/>
            <w:tcMar>
              <w:top w:w="0" w:type="dxa"/>
              <w:left w:w="115" w:type="dxa"/>
              <w:bottom w:w="0" w:type="dxa"/>
              <w:right w:w="115" w:type="dxa"/>
            </w:tcMar>
          </w:tcPr>
          <w:p w14:paraId="0988062C" w14:textId="3B8C272B" w:rsidR="009402F3" w:rsidRPr="00D44F00" w:rsidRDefault="00D44F00" w:rsidP="00AC403D">
            <w:pPr>
              <w:suppressAutoHyphens/>
              <w:contextualSpacing/>
              <w:rPr>
                <w:rFonts w:asciiTheme="majorHAnsi" w:hAnsiTheme="majorHAnsi" w:cstheme="majorHAnsi"/>
                <w:sz w:val="20"/>
                <w:szCs w:val="20"/>
              </w:rPr>
            </w:pPr>
            <w:r w:rsidRPr="00D44F00">
              <w:rPr>
                <w:sz w:val="20"/>
                <w:szCs w:val="20"/>
              </w:rPr>
              <w:t xml:space="preserve">Berkani, L. (2021). Learning management systems: Concept and challenges. Computers, 10(9), 112. </w:t>
            </w:r>
            <w:hyperlink r:id="rId14" w:tgtFrame="_blank" w:history="1">
              <w:r w:rsidRPr="00D44F00">
                <w:rPr>
                  <w:rStyle w:val="Hyperlink"/>
                  <w:sz w:val="20"/>
                  <w:szCs w:val="20"/>
                </w:rPr>
                <w:t>https://doi.org/10.3390/computers10090112</w:t>
              </w:r>
            </w:hyperlink>
          </w:p>
        </w:tc>
      </w:tr>
      <w:tr w:rsidR="009402F3" w:rsidRPr="00AC403D" w14:paraId="70153753" w14:textId="77777777" w:rsidTr="00CD5006">
        <w:tc>
          <w:tcPr>
            <w:tcW w:w="1975" w:type="dxa"/>
            <w:tcMar>
              <w:top w:w="0" w:type="dxa"/>
              <w:left w:w="115" w:type="dxa"/>
              <w:bottom w:w="0" w:type="dxa"/>
              <w:right w:w="115" w:type="dxa"/>
            </w:tcMar>
          </w:tcPr>
          <w:p w14:paraId="311B8E6D" w14:textId="7473A5CF" w:rsidR="009402F3" w:rsidRPr="00AC403D" w:rsidRDefault="00CD50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Scalability</w:t>
            </w:r>
          </w:p>
        </w:tc>
        <w:tc>
          <w:tcPr>
            <w:tcW w:w="4140" w:type="dxa"/>
            <w:tcMar>
              <w:top w:w="0" w:type="dxa"/>
              <w:left w:w="115" w:type="dxa"/>
              <w:bottom w:w="0" w:type="dxa"/>
              <w:right w:w="115" w:type="dxa"/>
            </w:tcMar>
          </w:tcPr>
          <w:p w14:paraId="0933C883" w14:textId="47DBA71D" w:rsidR="009402F3" w:rsidRPr="00AC403D" w:rsidRDefault="00C245E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Scalable to handle high user volumes and large amounts of data, such as course material and media. With online enrollment growing, the system will need to maintain performance without interrupting the services.</w:t>
            </w:r>
          </w:p>
        </w:tc>
        <w:tc>
          <w:tcPr>
            <w:tcW w:w="3235" w:type="dxa"/>
            <w:tcMar>
              <w:top w:w="0" w:type="dxa"/>
              <w:left w:w="115" w:type="dxa"/>
              <w:bottom w:w="0" w:type="dxa"/>
              <w:right w:w="115" w:type="dxa"/>
            </w:tcMar>
          </w:tcPr>
          <w:p w14:paraId="22A0060F" w14:textId="38820AA8" w:rsidR="009402F3" w:rsidRPr="00D44F00" w:rsidRDefault="00D44F00" w:rsidP="00AC403D">
            <w:pPr>
              <w:suppressAutoHyphens/>
              <w:contextualSpacing/>
              <w:rPr>
                <w:rFonts w:asciiTheme="majorHAnsi" w:hAnsiTheme="majorHAnsi" w:cstheme="majorHAnsi"/>
                <w:sz w:val="20"/>
                <w:szCs w:val="20"/>
              </w:rPr>
            </w:pPr>
            <w:r w:rsidRPr="00D44F00">
              <w:rPr>
                <w:sz w:val="20"/>
                <w:szCs w:val="20"/>
              </w:rPr>
              <w:t xml:space="preserve">Dube, S., &amp; Scott, E. (2014). An empirical study on the use of the Sakai learning management system. In Proceedings of the e-Skills for Knowledge Production and Innovation Conference (pp. 101-107). </w:t>
            </w:r>
            <w:hyperlink r:id="rId15" w:tgtFrame="_blank" w:history="1">
              <w:r w:rsidRPr="00D44F00">
                <w:rPr>
                  <w:rStyle w:val="Hyperlink"/>
                  <w:sz w:val="20"/>
                  <w:szCs w:val="20"/>
                </w:rPr>
                <w:t>https://doi.org/10.13140/RG.2.1.3159.1048</w:t>
              </w:r>
            </w:hyperlink>
          </w:p>
        </w:tc>
      </w:tr>
      <w:tr w:rsidR="009402F3" w:rsidRPr="00AC403D" w14:paraId="1A18605B" w14:textId="77777777" w:rsidTr="00CD5006">
        <w:tc>
          <w:tcPr>
            <w:tcW w:w="1975" w:type="dxa"/>
            <w:tcMar>
              <w:top w:w="0" w:type="dxa"/>
              <w:left w:w="115" w:type="dxa"/>
              <w:bottom w:w="0" w:type="dxa"/>
              <w:right w:w="115" w:type="dxa"/>
            </w:tcMar>
          </w:tcPr>
          <w:p w14:paraId="78F86F19" w14:textId="758C7123" w:rsidR="009402F3" w:rsidRPr="00AC403D" w:rsidRDefault="00CD50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Usability</w:t>
            </w:r>
          </w:p>
        </w:tc>
        <w:tc>
          <w:tcPr>
            <w:tcW w:w="4140" w:type="dxa"/>
            <w:tcMar>
              <w:top w:w="0" w:type="dxa"/>
              <w:left w:w="115" w:type="dxa"/>
              <w:bottom w:w="0" w:type="dxa"/>
              <w:right w:w="115" w:type="dxa"/>
            </w:tcMar>
          </w:tcPr>
          <w:p w14:paraId="6DCB0D56" w14:textId="50E87A93" w:rsidR="009402F3" w:rsidRPr="00AC403D" w:rsidRDefault="00C245E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Interface should be intuitive, user-friendly, and easy-to-learn and navigate. This allows users of varying technical skill levels to use the system without a learning curve. Usability while enabling core tasks is essential for LMS adoption and engagement.</w:t>
            </w:r>
          </w:p>
        </w:tc>
        <w:tc>
          <w:tcPr>
            <w:tcW w:w="3235" w:type="dxa"/>
            <w:tcMar>
              <w:top w:w="0" w:type="dxa"/>
              <w:left w:w="115" w:type="dxa"/>
              <w:bottom w:w="0" w:type="dxa"/>
              <w:right w:w="115" w:type="dxa"/>
            </w:tcMar>
          </w:tcPr>
          <w:p w14:paraId="21CB94CE" w14:textId="576AE6FD" w:rsidR="009402F3" w:rsidRPr="00D44F00" w:rsidRDefault="00D44F00" w:rsidP="00AC403D">
            <w:pPr>
              <w:suppressAutoHyphens/>
              <w:contextualSpacing/>
              <w:rPr>
                <w:rFonts w:asciiTheme="majorHAnsi" w:hAnsiTheme="majorHAnsi" w:cstheme="majorHAnsi"/>
                <w:sz w:val="20"/>
                <w:szCs w:val="20"/>
              </w:rPr>
            </w:pPr>
            <w:r w:rsidRPr="00D44F00">
              <w:rPr>
                <w:sz w:val="20"/>
                <w:szCs w:val="20"/>
              </w:rPr>
              <w:t xml:space="preserve">Ülker, D., &amp; Yilmaz, Y. (2016). Learning management systems and comparison of </w:t>
            </w:r>
            <w:proofErr w:type="gramStart"/>
            <w:r w:rsidRPr="00D44F00">
              <w:rPr>
                <w:sz w:val="20"/>
                <w:szCs w:val="20"/>
              </w:rPr>
              <w:t>open source</w:t>
            </w:r>
            <w:proofErr w:type="gramEnd"/>
            <w:r w:rsidRPr="00D44F00">
              <w:rPr>
                <w:sz w:val="20"/>
                <w:szCs w:val="20"/>
              </w:rPr>
              <w:t xml:space="preserve"> learning management systems and proprietary learning management systems. Journal of Systems Integration, 7(2), 18-24. </w:t>
            </w:r>
            <w:hyperlink r:id="rId16" w:tgtFrame="_blank" w:history="1">
              <w:r w:rsidRPr="00D44F00">
                <w:rPr>
                  <w:rStyle w:val="Hyperlink"/>
                  <w:sz w:val="20"/>
                  <w:szCs w:val="20"/>
                </w:rPr>
                <w:t>https://doi.org/10.20470/jsi.v7i2.255</w:t>
              </w:r>
            </w:hyperlink>
          </w:p>
        </w:tc>
      </w:tr>
      <w:tr w:rsidR="009402F3" w:rsidRPr="00AC403D" w14:paraId="231DB19C" w14:textId="77777777" w:rsidTr="00CD5006">
        <w:tc>
          <w:tcPr>
            <w:tcW w:w="1975" w:type="dxa"/>
            <w:tcMar>
              <w:top w:w="0" w:type="dxa"/>
              <w:left w:w="115" w:type="dxa"/>
              <w:bottom w:w="0" w:type="dxa"/>
              <w:right w:w="115" w:type="dxa"/>
            </w:tcMar>
          </w:tcPr>
          <w:p w14:paraId="34353B68" w14:textId="7EBBCDAE" w:rsidR="009402F3" w:rsidRPr="00AC403D" w:rsidRDefault="00CD50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Accessibility</w:t>
            </w:r>
          </w:p>
        </w:tc>
        <w:tc>
          <w:tcPr>
            <w:tcW w:w="4140" w:type="dxa"/>
            <w:tcMar>
              <w:top w:w="0" w:type="dxa"/>
              <w:left w:w="115" w:type="dxa"/>
              <w:bottom w:w="0" w:type="dxa"/>
              <w:right w:w="115" w:type="dxa"/>
            </w:tcMar>
          </w:tcPr>
          <w:p w14:paraId="7934CF08" w14:textId="4FB64BCE" w:rsidR="009402F3" w:rsidRPr="00AC403D" w:rsidRDefault="00C245E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Students and faculty should be able to access course content and tools with assistive technologies that meet relevant regulations such as Section 508 and W3C accessibility guidelines, making the system accessible to those with disabilities. (A good example of this, while working in the analytics department at SNHU, a coworker was color-blind. This led to us using data labels for all of our bar graphs due to my coworker being unable to distinguish colors in our interactive dashboard graphs.</w:t>
            </w:r>
          </w:p>
        </w:tc>
        <w:tc>
          <w:tcPr>
            <w:tcW w:w="3235" w:type="dxa"/>
            <w:tcMar>
              <w:top w:w="0" w:type="dxa"/>
              <w:left w:w="115" w:type="dxa"/>
              <w:bottom w:w="0" w:type="dxa"/>
              <w:right w:w="115" w:type="dxa"/>
            </w:tcMar>
          </w:tcPr>
          <w:p w14:paraId="79F76655" w14:textId="056E0425" w:rsidR="009402F3" w:rsidRPr="00D44F00" w:rsidRDefault="00D44F00" w:rsidP="00AC403D">
            <w:pPr>
              <w:suppressAutoHyphens/>
              <w:contextualSpacing/>
              <w:rPr>
                <w:rFonts w:asciiTheme="majorHAnsi" w:hAnsiTheme="majorHAnsi" w:cstheme="majorHAnsi"/>
                <w:sz w:val="20"/>
                <w:szCs w:val="20"/>
              </w:rPr>
            </w:pPr>
            <w:r w:rsidRPr="00D44F00">
              <w:rPr>
                <w:sz w:val="20"/>
                <w:szCs w:val="20"/>
              </w:rPr>
              <w:t xml:space="preserve">Bozkurt, A. (2019). From distance education to open and distance learning: A holistic evaluation of history, definitions, and theories. In Handbook of Research on Learning in the Age of Transhumanism (pp. 252-273). IGI Global. </w:t>
            </w:r>
            <w:hyperlink r:id="rId17" w:tgtFrame="_blank" w:history="1">
              <w:r w:rsidRPr="00D44F00">
                <w:rPr>
                  <w:rStyle w:val="Hyperlink"/>
                  <w:sz w:val="20"/>
                  <w:szCs w:val="20"/>
                </w:rPr>
                <w:t>https://doi.org/10.4018/978-1-5225-8431-5.ch016</w:t>
              </w:r>
            </w:hyperlink>
          </w:p>
        </w:tc>
      </w:tr>
      <w:tr w:rsidR="009402F3" w:rsidRPr="00AC403D" w14:paraId="632AD496" w14:textId="77777777" w:rsidTr="00CD5006">
        <w:tc>
          <w:tcPr>
            <w:tcW w:w="1975" w:type="dxa"/>
            <w:tcMar>
              <w:top w:w="0" w:type="dxa"/>
              <w:left w:w="115" w:type="dxa"/>
              <w:bottom w:w="0" w:type="dxa"/>
              <w:right w:w="115" w:type="dxa"/>
            </w:tcMar>
          </w:tcPr>
          <w:p w14:paraId="45336259" w14:textId="3830CD54" w:rsidR="009402F3" w:rsidRPr="00AC403D" w:rsidRDefault="00CD50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Security</w:t>
            </w:r>
          </w:p>
        </w:tc>
        <w:tc>
          <w:tcPr>
            <w:tcW w:w="4140" w:type="dxa"/>
            <w:tcMar>
              <w:top w:w="0" w:type="dxa"/>
              <w:left w:w="115" w:type="dxa"/>
              <w:bottom w:w="0" w:type="dxa"/>
              <w:right w:w="115" w:type="dxa"/>
            </w:tcMar>
          </w:tcPr>
          <w:p w14:paraId="5F50BE68" w14:textId="137009B4" w:rsidR="009402F3" w:rsidRPr="00AC403D" w:rsidRDefault="00C245E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Due to the sensitive information contained within an LMS, robust security is critical </w:t>
            </w:r>
            <w:r w:rsidR="000878B5">
              <w:rPr>
                <w:rFonts w:asciiTheme="majorHAnsi" w:hAnsiTheme="majorHAnsi" w:cstheme="majorHAnsi"/>
                <w:sz w:val="22"/>
                <w:szCs w:val="22"/>
              </w:rPr>
              <w:t>to safeguard academic data, personal information, and financial data. It requires secure logins, data encryption, regular security testing, and other measures to guard against breaches and unauthorized access.</w:t>
            </w:r>
          </w:p>
        </w:tc>
        <w:tc>
          <w:tcPr>
            <w:tcW w:w="3235" w:type="dxa"/>
            <w:tcMar>
              <w:top w:w="0" w:type="dxa"/>
              <w:left w:w="115" w:type="dxa"/>
              <w:bottom w:w="0" w:type="dxa"/>
              <w:right w:w="115" w:type="dxa"/>
            </w:tcMar>
          </w:tcPr>
          <w:p w14:paraId="37A57FF6" w14:textId="4CDF0F98" w:rsidR="009402F3" w:rsidRPr="00D44F00" w:rsidRDefault="00D44F00" w:rsidP="00AC403D">
            <w:pPr>
              <w:suppressAutoHyphens/>
              <w:contextualSpacing/>
              <w:rPr>
                <w:rFonts w:asciiTheme="majorHAnsi" w:hAnsiTheme="majorHAnsi" w:cstheme="majorHAnsi"/>
                <w:sz w:val="20"/>
                <w:szCs w:val="20"/>
              </w:rPr>
            </w:pPr>
            <w:r w:rsidRPr="00D44F00">
              <w:rPr>
                <w:sz w:val="20"/>
                <w:szCs w:val="20"/>
              </w:rPr>
              <w:t xml:space="preserve">Ülker, D., &amp; Yilmaz, Y. (2016). Learning management systems and comparison of </w:t>
            </w:r>
            <w:proofErr w:type="gramStart"/>
            <w:r w:rsidRPr="00D44F00">
              <w:rPr>
                <w:sz w:val="20"/>
                <w:szCs w:val="20"/>
              </w:rPr>
              <w:t>open source</w:t>
            </w:r>
            <w:proofErr w:type="gramEnd"/>
            <w:r w:rsidRPr="00D44F00">
              <w:rPr>
                <w:sz w:val="20"/>
                <w:szCs w:val="20"/>
              </w:rPr>
              <w:t xml:space="preserve"> learning management systems and proprietary learning management systems. Journal of Systems Integration, 7(2), 18-24. </w:t>
            </w:r>
            <w:hyperlink r:id="rId18" w:tgtFrame="_blank" w:history="1">
              <w:r w:rsidRPr="00D44F00">
                <w:rPr>
                  <w:rStyle w:val="Hyperlink"/>
                  <w:sz w:val="20"/>
                  <w:szCs w:val="20"/>
                </w:rPr>
                <w:t>https://doi.org/10.20470/jsi.v7i2.255</w:t>
              </w:r>
            </w:hyperlink>
          </w:p>
        </w:tc>
      </w:tr>
      <w:tr w:rsidR="009402F3" w:rsidRPr="00AC403D" w14:paraId="3C226E09" w14:textId="77777777" w:rsidTr="00CD5006">
        <w:tc>
          <w:tcPr>
            <w:tcW w:w="1975" w:type="dxa"/>
            <w:tcMar>
              <w:top w:w="0" w:type="dxa"/>
              <w:left w:w="115" w:type="dxa"/>
              <w:bottom w:w="0" w:type="dxa"/>
              <w:right w:w="115" w:type="dxa"/>
            </w:tcMar>
          </w:tcPr>
          <w:p w14:paraId="7D2A5E9F" w14:textId="4971DA41" w:rsidR="009402F3" w:rsidRPr="00AC403D" w:rsidRDefault="00CD50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Interoperability</w:t>
            </w:r>
          </w:p>
        </w:tc>
        <w:tc>
          <w:tcPr>
            <w:tcW w:w="4140" w:type="dxa"/>
            <w:tcMar>
              <w:top w:w="0" w:type="dxa"/>
              <w:left w:w="115" w:type="dxa"/>
              <w:bottom w:w="0" w:type="dxa"/>
              <w:right w:w="115" w:type="dxa"/>
            </w:tcMar>
          </w:tcPr>
          <w:p w14:paraId="5D7CFBB0" w14:textId="795AEBC5" w:rsidR="009402F3" w:rsidRPr="00AC403D" w:rsidRDefault="000878B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 connected ecosystem streamlines the flow of data and improves the user-</w:t>
            </w:r>
            <w:r>
              <w:rPr>
                <w:rFonts w:asciiTheme="majorHAnsi" w:hAnsiTheme="majorHAnsi" w:cstheme="majorHAnsi"/>
                <w:sz w:val="22"/>
                <w:szCs w:val="22"/>
              </w:rPr>
              <w:lastRenderedPageBreak/>
              <w:t>experience. It should support standards such as LTI for 3</w:t>
            </w:r>
            <w:r w:rsidRPr="000878B5">
              <w:rPr>
                <w:rFonts w:asciiTheme="majorHAnsi" w:hAnsiTheme="majorHAnsi" w:cstheme="majorHAnsi"/>
                <w:sz w:val="22"/>
                <w:szCs w:val="22"/>
                <w:vertAlign w:val="superscript"/>
              </w:rPr>
              <w:t>rd</w:t>
            </w:r>
            <w:r>
              <w:rPr>
                <w:rFonts w:asciiTheme="majorHAnsi" w:hAnsiTheme="majorHAnsi" w:cstheme="majorHAnsi"/>
                <w:sz w:val="22"/>
                <w:szCs w:val="22"/>
              </w:rPr>
              <w:t xml:space="preserve"> party tools and content to integrate the LMS with other key campus systems, including student information systems, authentication services, and so on.</w:t>
            </w:r>
          </w:p>
        </w:tc>
        <w:tc>
          <w:tcPr>
            <w:tcW w:w="3235" w:type="dxa"/>
            <w:tcMar>
              <w:top w:w="0" w:type="dxa"/>
              <w:left w:w="115" w:type="dxa"/>
              <w:bottom w:w="0" w:type="dxa"/>
              <w:right w:w="115" w:type="dxa"/>
            </w:tcMar>
          </w:tcPr>
          <w:p w14:paraId="1ED06794" w14:textId="7C8C0353" w:rsidR="009402F3" w:rsidRPr="00D44F00" w:rsidRDefault="00D44F00" w:rsidP="00AC403D">
            <w:pPr>
              <w:suppressAutoHyphens/>
              <w:contextualSpacing/>
              <w:rPr>
                <w:rFonts w:asciiTheme="majorHAnsi" w:hAnsiTheme="majorHAnsi" w:cstheme="majorHAnsi"/>
                <w:sz w:val="20"/>
                <w:szCs w:val="20"/>
              </w:rPr>
            </w:pPr>
            <w:r w:rsidRPr="00D44F00">
              <w:rPr>
                <w:sz w:val="20"/>
                <w:szCs w:val="20"/>
              </w:rPr>
              <w:lastRenderedPageBreak/>
              <w:t xml:space="preserve">Berkani, L. (2021). Learning management systems: Concept and </w:t>
            </w:r>
            <w:r w:rsidRPr="00D44F00">
              <w:rPr>
                <w:sz w:val="20"/>
                <w:szCs w:val="20"/>
              </w:rPr>
              <w:lastRenderedPageBreak/>
              <w:t xml:space="preserve">challenges. Computers, 10(9), 112. </w:t>
            </w:r>
            <w:hyperlink r:id="rId19" w:tgtFrame="_blank" w:history="1">
              <w:r w:rsidRPr="00D44F00">
                <w:rPr>
                  <w:rStyle w:val="Hyperlink"/>
                  <w:sz w:val="20"/>
                  <w:szCs w:val="20"/>
                </w:rPr>
                <w:t>https://doi.org/10.3390/computers10090112</w:t>
              </w:r>
            </w:hyperlink>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04EDAB9B" w14:textId="77777777" w:rsidR="00D44F00" w:rsidRDefault="00D44F00" w:rsidP="00AC403D">
      <w:pPr>
        <w:pStyle w:val="Heading2"/>
      </w:pPr>
    </w:p>
    <w:p w14:paraId="3D5ABC3E" w14:textId="6D8AE7DB"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3330"/>
        <w:gridCol w:w="3775"/>
      </w:tblGrid>
      <w:tr w:rsidR="009402F3" w:rsidRPr="00AC403D" w14:paraId="42E35FF6" w14:textId="77777777" w:rsidTr="00CD5006">
        <w:trPr>
          <w:tblHeader/>
        </w:trPr>
        <w:tc>
          <w:tcPr>
            <w:tcW w:w="2245"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330"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775"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CD5006">
        <w:tc>
          <w:tcPr>
            <w:tcW w:w="2245" w:type="dxa"/>
            <w:tcMar>
              <w:top w:w="0" w:type="dxa"/>
              <w:left w:w="115" w:type="dxa"/>
              <w:bottom w:w="0" w:type="dxa"/>
              <w:right w:w="115" w:type="dxa"/>
            </w:tcMar>
          </w:tcPr>
          <w:p w14:paraId="27E534D0" w14:textId="12B3C539" w:rsidR="009402F3" w:rsidRPr="00AC403D" w:rsidRDefault="000878B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university has a budget equipped to fund LMS hosting, licensing, implementation, and other support costs.</w:t>
            </w:r>
          </w:p>
        </w:tc>
        <w:tc>
          <w:tcPr>
            <w:tcW w:w="3330" w:type="dxa"/>
            <w:tcMar>
              <w:top w:w="0" w:type="dxa"/>
              <w:left w:w="115" w:type="dxa"/>
              <w:bottom w:w="0" w:type="dxa"/>
              <w:right w:w="115" w:type="dxa"/>
            </w:tcMar>
          </w:tcPr>
          <w:p w14:paraId="1F27DE3D" w14:textId="78B2B4CA" w:rsidR="009402F3" w:rsidRPr="00AC403D" w:rsidRDefault="000878B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Deploying an enterprise LMS is a SIGNIFICANT investment. An assumption of adequate funds is needed to properly plan for the system selection, deployment, and maintenance/ongoing costs.</w:t>
            </w:r>
          </w:p>
        </w:tc>
        <w:tc>
          <w:tcPr>
            <w:tcW w:w="3775" w:type="dxa"/>
            <w:tcMar>
              <w:top w:w="0" w:type="dxa"/>
              <w:left w:w="115" w:type="dxa"/>
              <w:bottom w:w="0" w:type="dxa"/>
              <w:right w:w="115" w:type="dxa"/>
            </w:tcMar>
          </w:tcPr>
          <w:p w14:paraId="5785995C" w14:textId="038FFD8B" w:rsidR="009402F3" w:rsidRPr="00CD5006" w:rsidRDefault="00CD5006" w:rsidP="00AC403D">
            <w:pPr>
              <w:suppressAutoHyphens/>
              <w:contextualSpacing/>
              <w:rPr>
                <w:rFonts w:asciiTheme="majorHAnsi" w:hAnsiTheme="majorHAnsi" w:cstheme="majorHAnsi"/>
                <w:sz w:val="22"/>
                <w:szCs w:val="22"/>
              </w:rPr>
            </w:pPr>
            <w:r w:rsidRPr="00CD5006">
              <w:rPr>
                <w:sz w:val="22"/>
                <w:szCs w:val="22"/>
              </w:rPr>
              <w:t xml:space="preserve">Ülker, D., &amp; Yilmaz, Y. (2016). Learning management systems and comparison of </w:t>
            </w:r>
            <w:proofErr w:type="gramStart"/>
            <w:r w:rsidRPr="00CD5006">
              <w:rPr>
                <w:sz w:val="22"/>
                <w:szCs w:val="22"/>
              </w:rPr>
              <w:t>open source</w:t>
            </w:r>
            <w:proofErr w:type="gramEnd"/>
            <w:r w:rsidRPr="00CD5006">
              <w:rPr>
                <w:sz w:val="22"/>
                <w:szCs w:val="22"/>
              </w:rPr>
              <w:t xml:space="preserve"> learning management systems and proprietary learning management systems. Journal of Systems Integration, 7(2), 18-24. </w:t>
            </w:r>
            <w:hyperlink r:id="rId20" w:tgtFrame="_blank" w:history="1">
              <w:r w:rsidRPr="00CD5006">
                <w:rPr>
                  <w:rStyle w:val="Hyperlink"/>
                  <w:sz w:val="22"/>
                  <w:szCs w:val="22"/>
                </w:rPr>
                <w:t>https://doi.org/10.20470/jsi.v7i2.255</w:t>
              </w:r>
            </w:hyperlink>
          </w:p>
        </w:tc>
      </w:tr>
      <w:tr w:rsidR="009402F3" w:rsidRPr="00AC403D" w14:paraId="57CBAC4A" w14:textId="77777777" w:rsidTr="00CD5006">
        <w:tc>
          <w:tcPr>
            <w:tcW w:w="2245" w:type="dxa"/>
            <w:tcMar>
              <w:top w:w="0" w:type="dxa"/>
              <w:left w:w="115" w:type="dxa"/>
              <w:bottom w:w="0" w:type="dxa"/>
              <w:right w:w="115" w:type="dxa"/>
            </w:tcMar>
          </w:tcPr>
          <w:p w14:paraId="68C79466" w14:textId="5EF8D8A4" w:rsidR="009402F3" w:rsidRPr="00AC403D" w:rsidRDefault="000878B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university has IT staffing with the skills and experience to implement and support the selected LMS platform.</w:t>
            </w:r>
          </w:p>
        </w:tc>
        <w:tc>
          <w:tcPr>
            <w:tcW w:w="3330" w:type="dxa"/>
            <w:tcMar>
              <w:top w:w="0" w:type="dxa"/>
              <w:left w:w="115" w:type="dxa"/>
              <w:bottom w:w="0" w:type="dxa"/>
              <w:right w:w="115" w:type="dxa"/>
            </w:tcMar>
          </w:tcPr>
          <w:p w14:paraId="3A153CF5" w14:textId="77777777" w:rsidR="009402F3" w:rsidRDefault="000878B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Given LMS requires specialized technical skills, such as system integration, database administration, </w:t>
            </w:r>
            <w:r w:rsidR="00841281">
              <w:rPr>
                <w:rFonts w:asciiTheme="majorHAnsi" w:hAnsiTheme="majorHAnsi" w:cstheme="majorHAnsi"/>
                <w:sz w:val="22"/>
                <w:szCs w:val="22"/>
              </w:rPr>
              <w:t>and educational technology support, the project must assume existing IT staff have this expertise, will have this expertise, or that new personnel with the proper skillsets will be hired.</w:t>
            </w:r>
          </w:p>
          <w:p w14:paraId="63921B9F" w14:textId="77777777" w:rsidR="00841281" w:rsidRDefault="00841281" w:rsidP="00AC403D">
            <w:pPr>
              <w:suppressAutoHyphens/>
              <w:contextualSpacing/>
              <w:rPr>
                <w:rFonts w:asciiTheme="majorHAnsi" w:hAnsiTheme="majorHAnsi" w:cstheme="majorHAnsi"/>
                <w:sz w:val="22"/>
                <w:szCs w:val="22"/>
              </w:rPr>
            </w:pPr>
          </w:p>
          <w:p w14:paraId="1D010CA2" w14:textId="77777777" w:rsidR="00841281" w:rsidRDefault="00841281" w:rsidP="00AC403D">
            <w:pPr>
              <w:suppressAutoHyphens/>
              <w:contextualSpacing/>
              <w:rPr>
                <w:rFonts w:asciiTheme="majorHAnsi" w:hAnsiTheme="majorHAnsi" w:cstheme="majorHAnsi"/>
                <w:sz w:val="22"/>
                <w:szCs w:val="22"/>
              </w:rPr>
            </w:pPr>
          </w:p>
          <w:p w14:paraId="75D99499" w14:textId="77777777" w:rsidR="00841281" w:rsidRDefault="00841281" w:rsidP="00AC403D">
            <w:pPr>
              <w:suppressAutoHyphens/>
              <w:contextualSpacing/>
              <w:rPr>
                <w:rFonts w:asciiTheme="majorHAnsi" w:hAnsiTheme="majorHAnsi" w:cstheme="majorHAnsi"/>
                <w:sz w:val="22"/>
                <w:szCs w:val="22"/>
              </w:rPr>
            </w:pPr>
          </w:p>
          <w:p w14:paraId="5EED26E4" w14:textId="77777777" w:rsidR="00841281" w:rsidRDefault="00841281" w:rsidP="00AC403D">
            <w:pPr>
              <w:suppressAutoHyphens/>
              <w:contextualSpacing/>
              <w:rPr>
                <w:rFonts w:asciiTheme="majorHAnsi" w:hAnsiTheme="majorHAnsi" w:cstheme="majorHAnsi"/>
                <w:sz w:val="22"/>
                <w:szCs w:val="22"/>
              </w:rPr>
            </w:pPr>
          </w:p>
          <w:p w14:paraId="6EF985EF" w14:textId="77777777" w:rsidR="00841281" w:rsidRDefault="00841281" w:rsidP="00AC403D">
            <w:pPr>
              <w:suppressAutoHyphens/>
              <w:contextualSpacing/>
              <w:rPr>
                <w:rFonts w:asciiTheme="majorHAnsi" w:hAnsiTheme="majorHAnsi" w:cstheme="majorHAnsi"/>
                <w:sz w:val="22"/>
                <w:szCs w:val="22"/>
              </w:rPr>
            </w:pPr>
          </w:p>
          <w:p w14:paraId="4DF5E35B" w14:textId="77777777" w:rsidR="00841281" w:rsidRDefault="00841281" w:rsidP="00AC403D">
            <w:pPr>
              <w:suppressAutoHyphens/>
              <w:contextualSpacing/>
              <w:rPr>
                <w:rFonts w:asciiTheme="majorHAnsi" w:hAnsiTheme="majorHAnsi" w:cstheme="majorHAnsi"/>
                <w:sz w:val="22"/>
                <w:szCs w:val="22"/>
              </w:rPr>
            </w:pPr>
          </w:p>
          <w:p w14:paraId="00A57028" w14:textId="77777777" w:rsidR="00841281" w:rsidRDefault="00841281" w:rsidP="00AC403D">
            <w:pPr>
              <w:suppressAutoHyphens/>
              <w:contextualSpacing/>
              <w:rPr>
                <w:rFonts w:asciiTheme="majorHAnsi" w:hAnsiTheme="majorHAnsi" w:cstheme="majorHAnsi"/>
                <w:sz w:val="22"/>
                <w:szCs w:val="22"/>
              </w:rPr>
            </w:pPr>
          </w:p>
          <w:p w14:paraId="6EDE211E" w14:textId="77777777" w:rsidR="00841281" w:rsidRDefault="00841281" w:rsidP="00AC403D">
            <w:pPr>
              <w:suppressAutoHyphens/>
              <w:contextualSpacing/>
              <w:rPr>
                <w:rFonts w:asciiTheme="majorHAnsi" w:hAnsiTheme="majorHAnsi" w:cstheme="majorHAnsi"/>
                <w:sz w:val="22"/>
                <w:szCs w:val="22"/>
              </w:rPr>
            </w:pPr>
          </w:p>
          <w:p w14:paraId="32C2E680" w14:textId="77777777" w:rsidR="00841281" w:rsidRDefault="00841281" w:rsidP="00AC403D">
            <w:pPr>
              <w:suppressAutoHyphens/>
              <w:contextualSpacing/>
              <w:rPr>
                <w:rFonts w:asciiTheme="majorHAnsi" w:hAnsiTheme="majorHAnsi" w:cstheme="majorHAnsi"/>
                <w:sz w:val="22"/>
                <w:szCs w:val="22"/>
              </w:rPr>
            </w:pPr>
          </w:p>
          <w:p w14:paraId="0FF7F6D3" w14:textId="77777777" w:rsidR="00841281" w:rsidRDefault="00841281" w:rsidP="00AC403D">
            <w:pPr>
              <w:suppressAutoHyphens/>
              <w:contextualSpacing/>
              <w:rPr>
                <w:rFonts w:asciiTheme="majorHAnsi" w:hAnsiTheme="majorHAnsi" w:cstheme="majorHAnsi"/>
                <w:sz w:val="22"/>
                <w:szCs w:val="22"/>
              </w:rPr>
            </w:pPr>
          </w:p>
          <w:p w14:paraId="325AF706" w14:textId="77777777" w:rsidR="00841281" w:rsidRDefault="00841281" w:rsidP="00AC403D">
            <w:pPr>
              <w:suppressAutoHyphens/>
              <w:contextualSpacing/>
              <w:rPr>
                <w:rFonts w:asciiTheme="majorHAnsi" w:hAnsiTheme="majorHAnsi" w:cstheme="majorHAnsi"/>
                <w:sz w:val="22"/>
                <w:szCs w:val="22"/>
              </w:rPr>
            </w:pPr>
          </w:p>
          <w:p w14:paraId="73114EF8" w14:textId="77777777" w:rsidR="00841281" w:rsidRDefault="00841281" w:rsidP="00AC403D">
            <w:pPr>
              <w:suppressAutoHyphens/>
              <w:contextualSpacing/>
              <w:rPr>
                <w:rFonts w:asciiTheme="majorHAnsi" w:hAnsiTheme="majorHAnsi" w:cstheme="majorHAnsi"/>
                <w:sz w:val="22"/>
                <w:szCs w:val="22"/>
              </w:rPr>
            </w:pPr>
          </w:p>
          <w:p w14:paraId="4B94F2CF" w14:textId="5FDD725C" w:rsidR="00841281" w:rsidRPr="00AC403D" w:rsidRDefault="00841281" w:rsidP="00AC403D">
            <w:pPr>
              <w:suppressAutoHyphens/>
              <w:contextualSpacing/>
              <w:rPr>
                <w:rFonts w:asciiTheme="majorHAnsi" w:hAnsiTheme="majorHAnsi" w:cstheme="majorHAnsi"/>
                <w:sz w:val="22"/>
                <w:szCs w:val="22"/>
              </w:rPr>
            </w:pPr>
          </w:p>
        </w:tc>
        <w:tc>
          <w:tcPr>
            <w:tcW w:w="3775" w:type="dxa"/>
            <w:tcMar>
              <w:top w:w="0" w:type="dxa"/>
              <w:left w:w="115" w:type="dxa"/>
              <w:bottom w:w="0" w:type="dxa"/>
              <w:right w:w="115" w:type="dxa"/>
            </w:tcMar>
          </w:tcPr>
          <w:p w14:paraId="2C33BC4D" w14:textId="4A79A2AF" w:rsidR="009402F3" w:rsidRPr="00CD5006" w:rsidRDefault="00CD5006" w:rsidP="00CD5006">
            <w:pPr>
              <w:suppressAutoHyphens/>
              <w:contextualSpacing/>
              <w:rPr>
                <w:rFonts w:asciiTheme="majorHAnsi" w:hAnsiTheme="majorHAnsi" w:cstheme="majorHAnsi"/>
                <w:sz w:val="22"/>
                <w:szCs w:val="22"/>
              </w:rPr>
            </w:pPr>
            <w:r w:rsidRPr="00CD5006">
              <w:rPr>
                <w:sz w:val="22"/>
                <w:szCs w:val="22"/>
              </w:rPr>
              <w:t xml:space="preserve">Berkani, L. (2021). Learning management systems: Concept and challenges. Computers, 10(9), 112. </w:t>
            </w:r>
            <w:hyperlink r:id="rId21" w:tgtFrame="_blank" w:history="1">
              <w:r w:rsidRPr="00CD5006">
                <w:rPr>
                  <w:rStyle w:val="Hyperlink"/>
                  <w:sz w:val="22"/>
                  <w:szCs w:val="22"/>
                </w:rPr>
                <w:t>https://doi.org/10.3390/computers10090112</w:t>
              </w:r>
            </w:hyperlink>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3330"/>
        <w:gridCol w:w="3775"/>
      </w:tblGrid>
      <w:tr w:rsidR="009402F3" w:rsidRPr="00AC403D" w14:paraId="3EA42FF7" w14:textId="77777777" w:rsidTr="00CD5006">
        <w:trPr>
          <w:tblHeader/>
        </w:trPr>
        <w:tc>
          <w:tcPr>
            <w:tcW w:w="2245"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lastRenderedPageBreak/>
              <w:t>Limitation</w:t>
            </w:r>
          </w:p>
        </w:tc>
        <w:tc>
          <w:tcPr>
            <w:tcW w:w="3330"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775"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CD5006">
        <w:tc>
          <w:tcPr>
            <w:tcW w:w="2245" w:type="dxa"/>
            <w:tcMar>
              <w:top w:w="0" w:type="dxa"/>
              <w:left w:w="115" w:type="dxa"/>
              <w:bottom w:w="0" w:type="dxa"/>
              <w:right w:w="115" w:type="dxa"/>
            </w:tcMar>
          </w:tcPr>
          <w:p w14:paraId="3BD0EC60" w14:textId="188D87BD" w:rsidR="009402F3" w:rsidRPr="00AC403D" w:rsidRDefault="0084128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aggressive timeline may limit the ability to deploy all desired LMS features for the initial release.</w:t>
            </w:r>
          </w:p>
        </w:tc>
        <w:tc>
          <w:tcPr>
            <w:tcW w:w="3330" w:type="dxa"/>
            <w:tcMar>
              <w:top w:w="0" w:type="dxa"/>
              <w:left w:w="115" w:type="dxa"/>
              <w:bottom w:w="0" w:type="dxa"/>
              <w:right w:w="115" w:type="dxa"/>
            </w:tcMar>
          </w:tcPr>
          <w:p w14:paraId="5908E9F4" w14:textId="6E9169C2" w:rsidR="009402F3" w:rsidRPr="00AC403D" w:rsidRDefault="0084128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LMS implementation is complex, and a multi-stage process. With a tight project timeline, a phased approach may necessitate where some non-essential features are pushed post-launch.</w:t>
            </w:r>
          </w:p>
        </w:tc>
        <w:tc>
          <w:tcPr>
            <w:tcW w:w="3775" w:type="dxa"/>
            <w:tcMar>
              <w:top w:w="0" w:type="dxa"/>
              <w:left w:w="115" w:type="dxa"/>
              <w:bottom w:w="0" w:type="dxa"/>
              <w:right w:w="115" w:type="dxa"/>
            </w:tcMar>
          </w:tcPr>
          <w:p w14:paraId="46040FA1" w14:textId="6B34A995" w:rsidR="009402F3" w:rsidRPr="00CD5006" w:rsidRDefault="00CD5006" w:rsidP="00AC403D">
            <w:pPr>
              <w:suppressAutoHyphens/>
              <w:contextualSpacing/>
              <w:rPr>
                <w:rFonts w:asciiTheme="majorHAnsi" w:hAnsiTheme="majorHAnsi" w:cstheme="majorHAnsi"/>
                <w:sz w:val="22"/>
                <w:szCs w:val="22"/>
              </w:rPr>
            </w:pPr>
            <w:r w:rsidRPr="00CD5006">
              <w:rPr>
                <w:sz w:val="22"/>
                <w:szCs w:val="22"/>
              </w:rPr>
              <w:t xml:space="preserve">Dube, S., &amp; Scott, E. (2014). An empirical study on the use of the Sakai learning management system. In Proceedings of the e-Skills for Knowledge Production and Innovation Conference (pp. 101-107). </w:t>
            </w:r>
            <w:hyperlink r:id="rId22" w:tgtFrame="_blank" w:history="1">
              <w:r w:rsidRPr="00CD5006">
                <w:rPr>
                  <w:rStyle w:val="Hyperlink"/>
                  <w:sz w:val="22"/>
                  <w:szCs w:val="22"/>
                </w:rPr>
                <w:t>https://doi.org/10.13140/RG.2.1.3159.1048</w:t>
              </w:r>
            </w:hyperlink>
          </w:p>
        </w:tc>
      </w:tr>
      <w:tr w:rsidR="009402F3" w:rsidRPr="00AC403D" w14:paraId="7BE323C3" w14:textId="77777777" w:rsidTr="00CD5006">
        <w:tc>
          <w:tcPr>
            <w:tcW w:w="2245" w:type="dxa"/>
            <w:tcMar>
              <w:top w:w="0" w:type="dxa"/>
              <w:left w:w="115" w:type="dxa"/>
              <w:bottom w:w="0" w:type="dxa"/>
              <w:right w:w="115" w:type="dxa"/>
            </w:tcMar>
          </w:tcPr>
          <w:p w14:paraId="1EC4573B" w14:textId="40C5A57B" w:rsidR="009402F3" w:rsidRPr="00AC403D" w:rsidRDefault="0084128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Incompatible technologies can make integration with some of the existing campus systems unfeasible. </w:t>
            </w:r>
          </w:p>
        </w:tc>
        <w:tc>
          <w:tcPr>
            <w:tcW w:w="3330" w:type="dxa"/>
            <w:tcMar>
              <w:top w:w="0" w:type="dxa"/>
              <w:left w:w="115" w:type="dxa"/>
              <w:bottom w:w="0" w:type="dxa"/>
              <w:right w:w="115" w:type="dxa"/>
            </w:tcMar>
          </w:tcPr>
          <w:p w14:paraId="6D534168" w14:textId="4C17D9E5" w:rsidR="009402F3" w:rsidRPr="00AC403D" w:rsidRDefault="0084128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Though we should integrate with as many of the other university systems as possible, older platforms may have limited interoperability, which is constrained by the age and architecture of legacy applications.</w:t>
            </w:r>
          </w:p>
        </w:tc>
        <w:tc>
          <w:tcPr>
            <w:tcW w:w="3775" w:type="dxa"/>
            <w:tcMar>
              <w:top w:w="0" w:type="dxa"/>
              <w:left w:w="115" w:type="dxa"/>
              <w:bottom w:w="0" w:type="dxa"/>
              <w:right w:w="115" w:type="dxa"/>
            </w:tcMar>
          </w:tcPr>
          <w:p w14:paraId="2E011DDB" w14:textId="4347D39F" w:rsidR="009402F3" w:rsidRPr="00AC403D" w:rsidRDefault="00CD5006" w:rsidP="00AC403D">
            <w:pPr>
              <w:suppressAutoHyphens/>
              <w:contextualSpacing/>
              <w:rPr>
                <w:rFonts w:asciiTheme="majorHAnsi" w:hAnsiTheme="majorHAnsi" w:cstheme="majorHAnsi"/>
                <w:sz w:val="22"/>
                <w:szCs w:val="22"/>
              </w:rPr>
            </w:pPr>
            <w:r w:rsidRPr="00CD5006">
              <w:rPr>
                <w:sz w:val="22"/>
                <w:szCs w:val="22"/>
              </w:rPr>
              <w:t xml:space="preserve">Bozkurt, A. (2019). From distance education to open and distance learning: A holistic evaluation of history, definitions, and theories. In Handbook of Research on Learning in the Age of Transhumanism (pp. 252-273). IGI Global. </w:t>
            </w:r>
            <w:hyperlink r:id="rId23" w:history="1">
              <w:r w:rsidR="000878B5" w:rsidRPr="00546333">
                <w:rPr>
                  <w:rStyle w:val="Hyperlink"/>
                  <w:sz w:val="22"/>
                  <w:szCs w:val="22"/>
                </w:rPr>
                <w:t>https://doi.org/10.4018/978-1-5225-8431-5.ch016</w:t>
              </w:r>
            </w:hyperlink>
          </w:p>
        </w:tc>
      </w:tr>
    </w:tbl>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75BE4" w14:textId="77777777" w:rsidR="00A26176" w:rsidRDefault="00A26176">
      <w:pPr>
        <w:spacing w:line="240" w:lineRule="auto"/>
      </w:pPr>
      <w:r>
        <w:separator/>
      </w:r>
    </w:p>
  </w:endnote>
  <w:endnote w:type="continuationSeparator" w:id="0">
    <w:p w14:paraId="517B6246" w14:textId="77777777" w:rsidR="00A26176" w:rsidRDefault="00A26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58FCE" w14:textId="77777777" w:rsidR="00A26176" w:rsidRDefault="00A26176">
      <w:pPr>
        <w:spacing w:line="240" w:lineRule="auto"/>
      </w:pPr>
      <w:r>
        <w:separator/>
      </w:r>
    </w:p>
  </w:footnote>
  <w:footnote w:type="continuationSeparator" w:id="0">
    <w:p w14:paraId="2FE2DD77" w14:textId="77777777" w:rsidR="00A26176" w:rsidRDefault="00A261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CBB5D" w14:textId="4B118EB3" w:rsidR="00841281" w:rsidRDefault="00841281">
    <w:pPr>
      <w:pStyle w:val="Header"/>
    </w:pPr>
    <w:r>
      <w:t>Tammy Hartline | Week 2 Assignment | CS-255 | 05/17/2024</w:t>
    </w:r>
  </w:p>
  <w:p w14:paraId="5F996B4F" w14:textId="5EA9B2C9" w:rsidR="009402F3" w:rsidRPr="004F3F11" w:rsidRDefault="009402F3" w:rsidP="004F3F11">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21EB4"/>
    <w:multiLevelType w:val="hybridMultilevel"/>
    <w:tmpl w:val="6114AADC"/>
    <w:lvl w:ilvl="0" w:tplc="6142BC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70738"/>
    <w:multiLevelType w:val="hybridMultilevel"/>
    <w:tmpl w:val="E6806DEC"/>
    <w:lvl w:ilvl="0" w:tplc="957C3F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802709">
    <w:abstractNumId w:val="1"/>
  </w:num>
  <w:num w:numId="2" w16cid:durableId="849103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0878B5"/>
    <w:rsid w:val="003D3B64"/>
    <w:rsid w:val="004D4062"/>
    <w:rsid w:val="004E4BFF"/>
    <w:rsid w:val="004F3F11"/>
    <w:rsid w:val="005C2D7C"/>
    <w:rsid w:val="005F6D98"/>
    <w:rsid w:val="006914B4"/>
    <w:rsid w:val="006F4335"/>
    <w:rsid w:val="008155FB"/>
    <w:rsid w:val="00831D59"/>
    <w:rsid w:val="00841281"/>
    <w:rsid w:val="008877FA"/>
    <w:rsid w:val="009402F3"/>
    <w:rsid w:val="009747CC"/>
    <w:rsid w:val="00A26176"/>
    <w:rsid w:val="00AB002E"/>
    <w:rsid w:val="00AC403D"/>
    <w:rsid w:val="00C245EA"/>
    <w:rsid w:val="00CD5006"/>
    <w:rsid w:val="00D44F00"/>
    <w:rsid w:val="00F574E7"/>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customStyle="1" w:styleId="whitespace-pre-wrap">
    <w:name w:val="whitespace-pre-wrap"/>
    <w:basedOn w:val="Normal"/>
    <w:rsid w:val="005F6D98"/>
    <w:pPr>
      <w:spacing w:before="100" w:beforeAutospacing="1" w:after="100" w:afterAutospacing="1"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5F6D98"/>
    <w:rPr>
      <w:color w:val="0000FF"/>
      <w:u w:val="single"/>
    </w:rPr>
  </w:style>
  <w:style w:type="character" w:styleId="UnresolvedMention">
    <w:name w:val="Unresolved Mention"/>
    <w:basedOn w:val="DefaultParagraphFont"/>
    <w:uiPriority w:val="99"/>
    <w:semiHidden/>
    <w:unhideWhenUsed/>
    <w:rsid w:val="0008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77015">
      <w:bodyDiv w:val="1"/>
      <w:marLeft w:val="0"/>
      <w:marRight w:val="0"/>
      <w:marTop w:val="0"/>
      <w:marBottom w:val="0"/>
      <w:divBdr>
        <w:top w:val="none" w:sz="0" w:space="0" w:color="auto"/>
        <w:left w:val="none" w:sz="0" w:space="0" w:color="auto"/>
        <w:bottom w:val="none" w:sz="0" w:space="0" w:color="auto"/>
        <w:right w:val="none" w:sz="0" w:space="0" w:color="auto"/>
      </w:divBdr>
    </w:div>
    <w:div w:id="978075103">
      <w:bodyDiv w:val="1"/>
      <w:marLeft w:val="0"/>
      <w:marRight w:val="0"/>
      <w:marTop w:val="0"/>
      <w:marBottom w:val="0"/>
      <w:divBdr>
        <w:top w:val="none" w:sz="0" w:space="0" w:color="auto"/>
        <w:left w:val="none" w:sz="0" w:space="0" w:color="auto"/>
        <w:bottom w:val="none" w:sz="0" w:space="0" w:color="auto"/>
        <w:right w:val="none" w:sz="0" w:space="0" w:color="auto"/>
      </w:divBdr>
    </w:div>
    <w:div w:id="1244611401">
      <w:bodyDiv w:val="1"/>
      <w:marLeft w:val="0"/>
      <w:marRight w:val="0"/>
      <w:marTop w:val="0"/>
      <w:marBottom w:val="0"/>
      <w:divBdr>
        <w:top w:val="none" w:sz="0" w:space="0" w:color="auto"/>
        <w:left w:val="none" w:sz="0" w:space="0" w:color="auto"/>
        <w:bottom w:val="none" w:sz="0" w:space="0" w:color="auto"/>
        <w:right w:val="none" w:sz="0" w:space="0" w:color="auto"/>
      </w:divBdr>
    </w:div>
    <w:div w:id="1438646452">
      <w:bodyDiv w:val="1"/>
      <w:marLeft w:val="0"/>
      <w:marRight w:val="0"/>
      <w:marTop w:val="0"/>
      <w:marBottom w:val="0"/>
      <w:divBdr>
        <w:top w:val="none" w:sz="0" w:space="0" w:color="auto"/>
        <w:left w:val="none" w:sz="0" w:space="0" w:color="auto"/>
        <w:bottom w:val="none" w:sz="0" w:space="0" w:color="auto"/>
        <w:right w:val="none" w:sz="0" w:space="0" w:color="auto"/>
      </w:divBdr>
    </w:div>
    <w:div w:id="1715305579">
      <w:bodyDiv w:val="1"/>
      <w:marLeft w:val="0"/>
      <w:marRight w:val="0"/>
      <w:marTop w:val="0"/>
      <w:marBottom w:val="0"/>
      <w:divBdr>
        <w:top w:val="none" w:sz="0" w:space="0" w:color="auto"/>
        <w:left w:val="none" w:sz="0" w:space="0" w:color="auto"/>
        <w:bottom w:val="none" w:sz="0" w:space="0" w:color="auto"/>
        <w:right w:val="none" w:sz="0" w:space="0" w:color="auto"/>
      </w:divBdr>
    </w:div>
    <w:div w:id="1751196018">
      <w:bodyDiv w:val="1"/>
      <w:marLeft w:val="0"/>
      <w:marRight w:val="0"/>
      <w:marTop w:val="0"/>
      <w:marBottom w:val="0"/>
      <w:divBdr>
        <w:top w:val="none" w:sz="0" w:space="0" w:color="auto"/>
        <w:left w:val="none" w:sz="0" w:space="0" w:color="auto"/>
        <w:bottom w:val="none" w:sz="0" w:space="0" w:color="auto"/>
        <w:right w:val="none" w:sz="0" w:space="0" w:color="auto"/>
      </w:divBdr>
    </w:div>
    <w:div w:id="2136747765">
      <w:bodyDiv w:val="1"/>
      <w:marLeft w:val="0"/>
      <w:marRight w:val="0"/>
      <w:marTop w:val="0"/>
      <w:marBottom w:val="0"/>
      <w:divBdr>
        <w:top w:val="none" w:sz="0" w:space="0" w:color="auto"/>
        <w:left w:val="none" w:sz="0" w:space="0" w:color="auto"/>
        <w:bottom w:val="none" w:sz="0" w:space="0" w:color="auto"/>
        <w:right w:val="none" w:sz="0" w:space="0" w:color="auto"/>
      </w:divBdr>
      <w:divsChild>
        <w:div w:id="317805867">
          <w:marLeft w:val="0"/>
          <w:marRight w:val="0"/>
          <w:marTop w:val="0"/>
          <w:marBottom w:val="0"/>
          <w:divBdr>
            <w:top w:val="single" w:sz="2" w:space="0" w:color="auto"/>
            <w:left w:val="single" w:sz="2" w:space="0" w:color="auto"/>
            <w:bottom w:val="single" w:sz="2" w:space="0" w:color="auto"/>
            <w:right w:val="single" w:sz="2" w:space="0" w:color="auto"/>
          </w:divBdr>
          <w:divsChild>
            <w:div w:id="2118671951">
              <w:marLeft w:val="0"/>
              <w:marRight w:val="0"/>
              <w:marTop w:val="0"/>
              <w:marBottom w:val="0"/>
              <w:divBdr>
                <w:top w:val="single" w:sz="2" w:space="0" w:color="auto"/>
                <w:left w:val="single" w:sz="2" w:space="0" w:color="auto"/>
                <w:bottom w:val="single" w:sz="2" w:space="0" w:color="auto"/>
                <w:right w:val="single" w:sz="2" w:space="0" w:color="auto"/>
              </w:divBdr>
              <w:divsChild>
                <w:div w:id="1739862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20470/jsi.v7i2.255" TargetMode="External"/><Relationship Id="rId13" Type="http://schemas.openxmlformats.org/officeDocument/2006/relationships/hyperlink" Target="https://doi.org/10.4018/978-1-5225-8431-5.ch016" TargetMode="External"/><Relationship Id="rId18" Type="http://schemas.openxmlformats.org/officeDocument/2006/relationships/hyperlink" Target="https://doi.org/10.20470/jsi.v7i2.25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390/computers10090112" TargetMode="External"/><Relationship Id="rId7" Type="http://schemas.openxmlformats.org/officeDocument/2006/relationships/endnotes" Target="endnotes.xml"/><Relationship Id="rId12" Type="http://schemas.openxmlformats.org/officeDocument/2006/relationships/hyperlink" Target="https://doi.org/10.20470/jsi.v7i2.255" TargetMode="External"/><Relationship Id="rId17" Type="http://schemas.openxmlformats.org/officeDocument/2006/relationships/hyperlink" Target="https://doi.org/10.4018/978-1-5225-8431-5.ch016"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20470/jsi.v7i2.255" TargetMode="External"/><Relationship Id="rId20" Type="http://schemas.openxmlformats.org/officeDocument/2006/relationships/hyperlink" Target="https://doi.org/10.20470/jsi.v7i2.2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018/978-1-5225-8431-5.ch016"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3140/RG.2.1.3159.1048" TargetMode="External"/><Relationship Id="rId23" Type="http://schemas.openxmlformats.org/officeDocument/2006/relationships/hyperlink" Target="https://doi.org/10.4018/978-1-5225-8431-5.ch016" TargetMode="External"/><Relationship Id="rId10" Type="http://schemas.openxmlformats.org/officeDocument/2006/relationships/hyperlink" Target="https://doi.org/10.13140/RG.2.1.3159.1048" TargetMode="External"/><Relationship Id="rId19" Type="http://schemas.openxmlformats.org/officeDocument/2006/relationships/hyperlink" Target="https://doi.org/10.3390/computers10090112" TargetMode="External"/><Relationship Id="rId4" Type="http://schemas.openxmlformats.org/officeDocument/2006/relationships/settings" Target="settings.xml"/><Relationship Id="rId9" Type="http://schemas.openxmlformats.org/officeDocument/2006/relationships/hyperlink" Target="https://doi.org/10.3390/computers10090112" TargetMode="External"/><Relationship Id="rId14" Type="http://schemas.openxmlformats.org/officeDocument/2006/relationships/hyperlink" Target="https://doi.org/10.3390/computers10090112" TargetMode="External"/><Relationship Id="rId22" Type="http://schemas.openxmlformats.org/officeDocument/2006/relationships/hyperlink" Target="https://doi.org/10.13140/RG.2.1.3159.104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Hartline, Tammy</cp:lastModifiedBy>
  <cp:revision>2</cp:revision>
  <dcterms:created xsi:type="dcterms:W3CDTF">2024-05-17T21:06:00Z</dcterms:created>
  <dcterms:modified xsi:type="dcterms:W3CDTF">2024-05-17T21:06:00Z</dcterms:modified>
</cp:coreProperties>
</file>